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052"/>
        <w:gridCol w:w="2002"/>
        <w:gridCol w:w="1440"/>
      </w:tblGrid>
      <w:tr w:rsidR="00326DA8" w:rsidRPr="002A2D01" w14:paraId="1D438747" w14:textId="77777777" w:rsidTr="007D39BF">
        <w:trPr>
          <w:trHeight w:val="611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7D39BF">
        <w:trPr>
          <w:trHeight w:val="206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4DC68DF0" w:rsidR="00732D41" w:rsidRPr="007D39BF" w:rsidRDefault="00795767" w:rsidP="00200FC0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0" w:name="_GoBack"/>
            <w:proofErr w:type="gramStart"/>
            <w:r w:rsidRPr="0079576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全自动氮吹浓缩</w:t>
            </w:r>
            <w:proofErr w:type="gramEnd"/>
            <w:r w:rsidRPr="0079576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仪等7台设备采购</w:t>
            </w:r>
            <w:bookmarkEnd w:id="0"/>
          </w:p>
        </w:tc>
      </w:tr>
      <w:tr w:rsidR="00326DA8" w:rsidRPr="002A2D01" w14:paraId="6F2066C6" w14:textId="77777777" w:rsidTr="007D39BF">
        <w:trPr>
          <w:trHeight w:val="525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73B14FDF" w14:textId="77777777" w:rsidTr="00D22B3A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0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D22B3A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C77CB1" w:rsidRDefault="00F67CE6">
            <w:pPr>
              <w:spacing w:line="36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法人或者其他组织的营业执照、组织机构代码证和税务登记证（或三证合一证明）证明文件复印件（加盖报价人公章）。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B249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D978DE" w:rsidRPr="002A2D01" w14:paraId="43DE5A0F" w14:textId="77777777" w:rsidTr="00D22B3A">
        <w:trPr>
          <w:trHeight w:val="2052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1F6C575" w14:textId="77777777" w:rsidR="00D978DE" w:rsidRPr="002A2D01" w:rsidRDefault="00D978D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vAlign w:val="center"/>
          </w:tcPr>
          <w:p w14:paraId="41BB326F" w14:textId="469AA879" w:rsidR="001D26BB" w:rsidRPr="00C77CB1" w:rsidRDefault="001D26BB" w:rsidP="00D978DE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本项目包含设备</w:t>
            </w:r>
            <w:r w:rsidR="005E66B9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台套，每台套包含：</w:t>
            </w:r>
          </w:p>
          <w:p w14:paraId="5301FFA1" w14:textId="67BB5B94" w:rsidR="00D978DE" w:rsidRPr="00C77CB1" w:rsidRDefault="00D978DE" w:rsidP="007E2B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设备</w:t>
            </w:r>
            <w:r w:rsidR="00A80FBF" w:rsidRPr="00C77CB1">
              <w:rPr>
                <w:rFonts w:ascii="Times New Roman" w:eastAsiaTheme="minorEastAsia" w:hAnsi="Times New Roman"/>
                <w:sz w:val="24"/>
                <w:szCs w:val="24"/>
              </w:rPr>
              <w:t>主要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配置清单：</w:t>
            </w:r>
            <w:proofErr w:type="gramStart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全自动氮吹浓缩</w:t>
            </w:r>
            <w:proofErr w:type="gramEnd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仪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及配件；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氮气发生器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废气</w:t>
            </w:r>
            <w:proofErr w:type="gramStart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涤</w:t>
            </w:r>
            <w:proofErr w:type="gramEnd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气装置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摩擦系数仪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冷却水循环机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及配件；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便携式</w:t>
            </w:r>
            <w:proofErr w:type="gramStart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余氯总氯测定</w:t>
            </w:r>
            <w:proofErr w:type="gramEnd"/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仪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主机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D22B3A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台套</w:t>
            </w:r>
            <w:r w:rsid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及配件</w:t>
            </w:r>
            <w:r w:rsidR="007E2B63" w:rsidRPr="00D22B3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14:paraId="0EB8B36F" w14:textId="77777777" w:rsidR="00D978DE" w:rsidRPr="00B249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C86B09" w14:textId="77777777" w:rsidR="00D978DE" w:rsidRPr="001D26BB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9BF1D93" w14:textId="77777777" w:rsidR="00D978DE" w:rsidRPr="002A2D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8781E" w:rsidRPr="002A2D01" w14:paraId="3CFC10B1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6BB0F66E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5BCA9CB" w14:textId="66917F63" w:rsidR="00200FC0" w:rsidRPr="00795767" w:rsidRDefault="00D978DE" w:rsidP="00795767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一</w:t>
            </w:r>
            <w:r w:rsidR="00D8604B"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、</w:t>
            </w:r>
            <w:proofErr w:type="gramStart"/>
            <w:r w:rsidR="00795767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全自动氮吹浓缩</w:t>
            </w:r>
            <w:proofErr w:type="gramEnd"/>
            <w:r w:rsidR="00795767" w:rsidRPr="00D22B3A">
              <w:rPr>
                <w:rFonts w:ascii="Times New Roman" w:eastAsiaTheme="minorEastAsia" w:hAnsi="Times New Roman" w:hint="eastAsia"/>
                <w:sz w:val="24"/>
                <w:szCs w:val="24"/>
              </w:rPr>
              <w:t>仪</w:t>
            </w:r>
            <w:r w:rsidR="00D8604B"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参数：</w:t>
            </w:r>
          </w:p>
          <w:p w14:paraId="1D951B18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1.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工作条件：</w:t>
            </w:r>
          </w:p>
          <w:p w14:paraId="7C3D355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1.1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环境温湿度：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  <w:r w:rsidRPr="00D22B3A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～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  <w:r w:rsidRPr="00D22B3A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45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～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80%</w:t>
            </w:r>
          </w:p>
          <w:p w14:paraId="533451B3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1.2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工作电压：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220V/110V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50Hz</w:t>
            </w:r>
          </w:p>
          <w:p w14:paraId="192F2D0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技术性能指标：</w:t>
            </w:r>
          </w:p>
          <w:p w14:paraId="41E00A3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2.1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自动浓缩仪：利用水浴加热，通过将氮气吹入受热后的样品表面进行快速浓缩，浓缩结束后，报警提示。支持最多不少于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60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位样品并联使用，样品通量大，效率高。</w:t>
            </w:r>
          </w:p>
          <w:p w14:paraId="4AF4A630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氮吹模块</w:t>
            </w:r>
            <w:proofErr w:type="gramEnd"/>
          </w:p>
          <w:p w14:paraId="269860D9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2.2.1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可随液面自动下降，并可自动升起，保证浓缩效率更高，使用更方便。</w:t>
            </w:r>
          </w:p>
          <w:p w14:paraId="3EC81D6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2.2.2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升降速度可调，特别是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升起时可选择高低速模式，提高效率。</w:t>
            </w:r>
          </w:p>
          <w:p w14:paraId="1E1CD794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2.2.3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具有专用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抬升设计，在无电状态下，可手动抬起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，顺利取出样品管架。</w:t>
            </w:r>
          </w:p>
          <w:p w14:paraId="5387167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2.2.4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氮吹针采用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双模式控制，既可根据方法程序设置自动升降，也可使用按键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手动把氮吹针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调至任意位置。</w:t>
            </w:r>
          </w:p>
          <w:p w14:paraId="0075BAEF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2.2.5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氮吹每通道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多路供气，保证每个出气口压力的平行性。</w:t>
            </w:r>
          </w:p>
          <w:p w14:paraId="3F912549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2.2.6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至少有一通道可以分组控制，方便用户在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少数量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样品浓缩时关掉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个别氮吹口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，避免用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堵头堵氮气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出口的麻烦，节省氮气。</w:t>
            </w:r>
          </w:p>
          <w:p w14:paraId="3E503FC8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2.2.7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氮气压力自动调节，不受通道开关数量变化的影响，精准，高效。</w:t>
            </w:r>
          </w:p>
          <w:p w14:paraId="27ABADEE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2.2.8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氮吹针采用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快速更换设计，可方便快捷的更换成其他位数的浓缩通道，方便拆卸清洗。</w:t>
            </w:r>
          </w:p>
          <w:p w14:paraId="003C47E0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2.2.9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标配两种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粗细不同的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，细针适用于小体积样品浓缩，节省浓缩氮气量；粗针更适合于体积较大样品的浓缩，可有效提高大体积样品浓缩的效率和平行性。</w:t>
            </w:r>
          </w:p>
          <w:p w14:paraId="239E09A2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2.2.10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可以快速更换成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50ml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离心管专用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排，提高兼容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性。</w:t>
            </w:r>
          </w:p>
          <w:p w14:paraId="00E45A9B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浓缩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腔</w:t>
            </w:r>
            <w:proofErr w:type="gramEnd"/>
          </w:p>
          <w:p w14:paraId="5374AA80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2.3.1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浓缩仪前部大尺寸可视玻璃窗设计，并具有照明功能，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浓缩全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过程可视，无须打开上盖即可观察到是否浓缩到期待的体积。</w:t>
            </w:r>
          </w:p>
          <w:p w14:paraId="3DBDC133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经典上翻盖式设计，避免抽屉式移动设计导致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位置对不准。</w:t>
            </w:r>
          </w:p>
          <w:p w14:paraId="33A99885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固定式水浴槽，防止移动式水槽运动时引起水浴飞溅，而且防止水浴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槽由于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长时间移动可能造成的滑轨损坏，减少故障率。</w:t>
            </w:r>
          </w:p>
          <w:p w14:paraId="0C4CFBB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2.3.4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浓缩架和水浴盆采用全身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PTFE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涂层防腐蚀防生锈工艺，大大提高了仪器的耐用性和寿命。</w:t>
            </w:r>
          </w:p>
          <w:p w14:paraId="006237D6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2.3.5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可使用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10ml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试管、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15ml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离心管、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50ml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离心管等通用规格的管架，并提供管架定制服务。</w:t>
            </w:r>
          </w:p>
          <w:p w14:paraId="5304CCBB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2.3.6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兼容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的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GC/LC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小瓶和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1.5ml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塑料离心管，可以直接在小瓶上进行氮吹。</w:t>
            </w:r>
          </w:p>
          <w:p w14:paraId="7A2F006B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2.3.7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采用快插排水设计，插上配套排管水将自动流出，拔下排管自动停止排水，操作简单快捷。</w:t>
            </w:r>
          </w:p>
          <w:p w14:paraId="782FF2F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2.3.8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标配强力排风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装置，风扇及相应废气管道。</w:t>
            </w:r>
          </w:p>
          <w:p w14:paraId="6288F5B9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2.3.9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水浴方式加热，导热效率高、均匀，浓缩速度快</w:t>
            </w:r>
          </w:p>
          <w:p w14:paraId="3B47AE1F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2.3.10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控温方式：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PID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；控温精度：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±0.1</w:t>
            </w:r>
            <w:r w:rsidRPr="00D22B3A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；控温范围：室温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~100</w:t>
            </w:r>
            <w:r w:rsidRPr="00D22B3A">
              <w:rPr>
                <w:rFonts w:ascii="宋体" w:eastAsia="宋体" w:hAnsi="宋体" w:cs="宋体" w:hint="eastAsia"/>
                <w:bCs/>
                <w:sz w:val="24"/>
                <w:szCs w:val="24"/>
              </w:rPr>
              <w:t>℃</w:t>
            </w:r>
          </w:p>
          <w:p w14:paraId="47EFB50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2.3.11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水位超限报警，压力超限报警，方便安全。</w:t>
            </w:r>
          </w:p>
          <w:p w14:paraId="5200983F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2.3.12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过热保护组件可有效防止水箱干烧，更加安全。</w:t>
            </w:r>
          </w:p>
          <w:p w14:paraId="7BDD8665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2.3.13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浓缩状态时，上盖会自动电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磁锁定。</w:t>
            </w:r>
          </w:p>
          <w:p w14:paraId="7C79C4E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2.3.14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打开上盖后自动断气。</w:t>
            </w:r>
          </w:p>
          <w:p w14:paraId="6683C7A1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2.3.15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具备水浴预加热功能，开机后按预设温度自动加热。</w:t>
            </w:r>
          </w:p>
          <w:p w14:paraId="688E531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控制终端系统</w:t>
            </w:r>
          </w:p>
          <w:p w14:paraId="37176164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2.4.1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本机具有人机交互界面，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10.1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寸触摸彩屏控制，图形化界面直观显示，易于操控。</w:t>
            </w:r>
          </w:p>
          <w:p w14:paraId="17001BB6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2.4.2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中英文界面自由切换，终端系统支持中英文输入法，方法名称可中英文命名，可实时显示浓缩的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氮吹针下降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速度、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氮吹压力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、浓缩时间等状态信息，支持在线编辑和保存浓缩参数。</w:t>
            </w:r>
          </w:p>
          <w:p w14:paraId="7A33DB8C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2.4.3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可以通过触控屏随时开始、暂停或停止八个通道中的任意通道。</w:t>
            </w:r>
          </w:p>
          <w:p w14:paraId="327A802C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2.4.4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氮吹针下降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到最低处时支持自动延时和自动程序调压。</w:t>
            </w:r>
          </w:p>
          <w:p w14:paraId="2093EAA2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2.4.4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可以通过触屏终端设置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氮吹针下降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速度，浓缩时间，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氮吹压力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等参数，并实时显示加热温度和压力。</w:t>
            </w:r>
          </w:p>
          <w:p w14:paraId="659D09B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2.4.5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具有物联网</w:t>
            </w:r>
            <w:proofErr w:type="spell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IoT</w:t>
            </w:r>
            <w:proofErr w:type="spell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功能，通过</w:t>
            </w:r>
            <w:proofErr w:type="spell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DTLabs</w:t>
            </w:r>
            <w:proofErr w:type="spell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程序可以轻松实现远程监控，浓缩参数实时显示在远程控制程序上，可轻松实现远程推送和接收设备的通知信息。</w:t>
            </w:r>
          </w:p>
          <w:p w14:paraId="548B7D0A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0648B942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、配置要求：</w:t>
            </w:r>
          </w:p>
          <w:p w14:paraId="2EF7DD8A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3.1  64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位浓缩仪主机单元，包括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64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位氮气出口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套</w:t>
            </w:r>
          </w:p>
          <w:p w14:paraId="75FAB253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3.2  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组件（每组含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根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）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                8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套</w:t>
            </w:r>
          </w:p>
          <w:p w14:paraId="2D980706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3.3  10ml 64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位样品管支架（表面经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PTFE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处理）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    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套</w:t>
            </w:r>
          </w:p>
          <w:p w14:paraId="3C52482C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 xml:space="preserve">3.4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备用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(Ø1.5mm),10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支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/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包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10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包</w:t>
            </w:r>
          </w:p>
          <w:p w14:paraId="3BA7956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3.5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备用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氮吹针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(Ø2.0mm),10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支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/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包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    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包</w:t>
            </w:r>
          </w:p>
          <w:p w14:paraId="271B6CF5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3.6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防腐排气管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                              3m</w:t>
            </w:r>
          </w:p>
          <w:p w14:paraId="622FB2FE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3.7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专用工具包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套</w:t>
            </w:r>
          </w:p>
          <w:p w14:paraId="5AF298C2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3.8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氮气接头组件（包含接头及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6mm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快插双通）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        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套</w:t>
            </w:r>
          </w:p>
          <w:p w14:paraId="27DB2631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3.9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氮气专用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PU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管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5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米</w:t>
            </w:r>
          </w:p>
          <w:p w14:paraId="1D54E5DE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3.10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操作说明书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ab/>
              <w:t xml:space="preserve">   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本</w:t>
            </w:r>
          </w:p>
          <w:p w14:paraId="5D0334B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5F0B0E40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4.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售后服务与国内培训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                                  </w:t>
            </w:r>
          </w:p>
          <w:p w14:paraId="462E940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供货商应按照中标后签订的合同约定，与最终用户共同完成系统的验收工作，验收数据</w:t>
            </w:r>
            <w:proofErr w:type="gramStart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经最终</w:t>
            </w:r>
            <w:proofErr w:type="gramEnd"/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用户代表签字认可。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</w:t>
            </w:r>
          </w:p>
          <w:p w14:paraId="03F298A8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4.2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由供货商为用户提供现场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人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个工作日的技术培训。</w:t>
            </w:r>
          </w:p>
          <w:p w14:paraId="0CD72805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4.3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产品质量按中华人民共和国有关质量标准实行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“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三包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”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服务。</w:t>
            </w:r>
          </w:p>
          <w:p w14:paraId="35270A21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4.4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供货商为用户提供产品终身技术服务。产品出现故障在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小时内响应，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48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小时内到现场履行维修服务义务。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</w:t>
            </w:r>
          </w:p>
          <w:p w14:paraId="35BC6450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</w:t>
            </w:r>
          </w:p>
          <w:p w14:paraId="1761201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5.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产品质量保证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             </w:t>
            </w:r>
          </w:p>
          <w:p w14:paraId="0419C437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5.1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用户享有随机专用软件的终生使用权。供货商承担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年时间内免费为用户提供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次升级的义务；用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户拥有自主选择升级时间的权力。</w:t>
            </w:r>
          </w:p>
          <w:p w14:paraId="6B8936FD" w14:textId="77777777" w:rsidR="00D22B3A" w:rsidRPr="00D22B3A" w:rsidRDefault="00D22B3A" w:rsidP="00D22B3A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5.2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质量鉴定报告书以及产品出厂质量检验相关文件。</w:t>
            </w:r>
          </w:p>
          <w:p w14:paraId="73E172FC" w14:textId="76D0F365" w:rsidR="0038781E" w:rsidRPr="00D22B3A" w:rsidRDefault="00D22B3A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5.3  </w:t>
            </w:r>
            <w:r w:rsidRPr="00D22B3A">
              <w:rPr>
                <w:rFonts w:ascii="Times New Roman" w:eastAsiaTheme="minorEastAsia" w:hAnsi="Times New Roman"/>
                <w:bCs/>
                <w:sz w:val="24"/>
                <w:szCs w:val="24"/>
              </w:rPr>
              <w:t>质量保证期：验收合格后签字日起不少于一年质保期。</w:t>
            </w:r>
          </w:p>
        </w:tc>
        <w:tc>
          <w:tcPr>
            <w:tcW w:w="2052" w:type="dxa"/>
            <w:vAlign w:val="center"/>
          </w:tcPr>
          <w:p w14:paraId="2B05244F" w14:textId="7B19DC21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5C83B2B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09473E" w:rsidRPr="00763A84" w:rsidRDefault="0009473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2B3A" w:rsidRPr="002A2D01" w14:paraId="7A56A5E9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54A3365B" w14:textId="77777777" w:rsidR="00D22B3A" w:rsidRPr="002A2D01" w:rsidRDefault="00D22B3A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5CA6230" w14:textId="77777777" w:rsidR="00D22B3A" w:rsidRPr="00795767" w:rsidRDefault="00795767" w:rsidP="00795767">
            <w:pPr>
              <w:ind w:leftChars="-37" w:left="-81"/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二、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氮气发生器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参数：</w:t>
            </w:r>
          </w:p>
          <w:p w14:paraId="63F50B8E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氮气纯度：≥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99.9%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</w:p>
          <w:p w14:paraId="4AC927FE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氮气流量：≥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40L/min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</w:p>
          <w:p w14:paraId="22101A36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氮气压力：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0-0.6Mpa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或更宽范围；</w:t>
            </w:r>
          </w:p>
          <w:p w14:paraId="5ECA4269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空气流量：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0-30L/min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或更宽范围；</w:t>
            </w:r>
          </w:p>
          <w:p w14:paraId="1062AA36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空气压力：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0-0.6Mpa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或更宽范围；</w:t>
            </w:r>
          </w:p>
          <w:p w14:paraId="34289AF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6.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气罐容积：≥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38L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</w:p>
          <w:p w14:paraId="14CD6B78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7.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电源电压：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220V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</w:p>
          <w:p w14:paraId="14691AFA" w14:textId="3EBA8DEA" w:rsidR="00795767" w:rsidRPr="00C77CB1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8.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质保期一年及以上</w:t>
            </w:r>
          </w:p>
        </w:tc>
        <w:tc>
          <w:tcPr>
            <w:tcW w:w="2052" w:type="dxa"/>
            <w:vAlign w:val="center"/>
          </w:tcPr>
          <w:p w14:paraId="1F3C9B19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316E359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01CC24B" w14:textId="77777777" w:rsidR="00D22B3A" w:rsidRPr="00763A84" w:rsidRDefault="00D22B3A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</w:p>
        </w:tc>
      </w:tr>
      <w:tr w:rsidR="00D22B3A" w:rsidRPr="002A2D01" w14:paraId="2F98DBBB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051FBE56" w14:textId="77777777" w:rsidR="00D22B3A" w:rsidRPr="002A2D01" w:rsidRDefault="00D22B3A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950A1E1" w14:textId="77777777" w:rsidR="00D22B3A" w:rsidRPr="00795767" w:rsidRDefault="00795767" w:rsidP="00795767">
            <w:pPr>
              <w:ind w:leftChars="-37" w:left="-81"/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三、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废气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涤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气装置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参数：</w:t>
            </w:r>
          </w:p>
          <w:p w14:paraId="657085C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、用途：配套消化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炉用于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消化废气的吸收和中和处理</w:t>
            </w:r>
          </w:p>
          <w:p w14:paraId="28C7FE14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、技术指标：</w:t>
            </w:r>
          </w:p>
          <w:p w14:paraId="1B6B0B4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.1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、采用二级串联系统，废气一级水洗处理，二级碱液中和</w:t>
            </w:r>
          </w:p>
          <w:p w14:paraId="749B62C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.2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、内置真空泵，真空度可调</w:t>
            </w:r>
          </w:p>
          <w:p w14:paraId="08284B0D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.3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、真空泵内置防废液倒流装置</w:t>
            </w:r>
          </w:p>
          <w:p w14:paraId="0CD3E966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.4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、处理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个样品无需更换碱液</w:t>
            </w:r>
          </w:p>
          <w:p w14:paraId="38AD9FF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.5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、可连接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FOSS 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DT220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系列消化炉进行废气吸收和中和处理</w:t>
            </w:r>
          </w:p>
          <w:p w14:paraId="77DE52CA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、配置要求：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废气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涤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气装置主机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台。</w:t>
            </w:r>
          </w:p>
          <w:p w14:paraId="271B18F4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、售后服务</w:t>
            </w:r>
          </w:p>
          <w:p w14:paraId="55990EFF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4.1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、质保期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年，终身维修；</w:t>
            </w:r>
          </w:p>
          <w:p w14:paraId="2DD5A6D6" w14:textId="78C1160B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4.2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、厂家在国内有厂家全资的服务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lastRenderedPageBreak/>
              <w:t>中心，提供相关的资质文件；</w:t>
            </w:r>
          </w:p>
        </w:tc>
        <w:tc>
          <w:tcPr>
            <w:tcW w:w="2052" w:type="dxa"/>
            <w:vAlign w:val="center"/>
          </w:tcPr>
          <w:p w14:paraId="786E1F0E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3AA4895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6AF5692" w14:textId="77777777" w:rsidR="00D22B3A" w:rsidRPr="00763A84" w:rsidRDefault="00D22B3A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</w:p>
        </w:tc>
      </w:tr>
      <w:tr w:rsidR="00D22B3A" w:rsidRPr="002A2D01" w14:paraId="4079F43E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2160AC56" w14:textId="77777777" w:rsidR="00D22B3A" w:rsidRPr="002A2D01" w:rsidRDefault="00D22B3A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E136ED" w14:textId="77777777" w:rsidR="00D22B3A" w:rsidRPr="00795767" w:rsidRDefault="00795767" w:rsidP="00795767">
            <w:pPr>
              <w:ind w:leftChars="-37" w:left="-81"/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四、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摩擦系数仪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参数：</w:t>
            </w:r>
          </w:p>
          <w:p w14:paraId="4E4AC36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摩擦系数测试范围：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  <w:t>0.001~0.999</w:t>
            </w:r>
          </w:p>
          <w:p w14:paraId="2536CDB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测量误差：±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2%</w:t>
            </w:r>
          </w:p>
          <w:p w14:paraId="427DA42A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测力范围：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  <w:t>0~9.8N</w:t>
            </w:r>
          </w:p>
          <w:p w14:paraId="690FC72E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滑块运动速度：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常用速度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100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±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10mm/min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（可无级变速）</w:t>
            </w:r>
          </w:p>
          <w:p w14:paraId="1D592D71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液晶显示：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试验速度、动摩擦系数和静摩擦系数</w:t>
            </w:r>
          </w:p>
          <w:p w14:paraId="013119F4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滑块尺寸：≤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  <w:t>63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×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63mm</w:t>
            </w:r>
          </w:p>
          <w:p w14:paraId="53BD473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7.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滑块质量：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  <w:t>200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±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2g</w:t>
            </w:r>
          </w:p>
          <w:p w14:paraId="1F61A47C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8.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温度控制：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室温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~75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</w:p>
          <w:p w14:paraId="7FEFDB0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试样厚度：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ab/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≤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2mm</w:t>
            </w:r>
          </w:p>
          <w:p w14:paraId="2FB254F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10.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全自动操作，一键测试，自动判断，自动停机</w:t>
            </w:r>
          </w:p>
          <w:p w14:paraId="67715A4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11. 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传感器超范围自动保护功能，避免仪器故障时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重要力值传感器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的损坏</w:t>
            </w:r>
          </w:p>
          <w:p w14:paraId="14C01126" w14:textId="496B852C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12.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质保期一年，免费软件升级服务，终身免费技术支持</w:t>
            </w:r>
          </w:p>
        </w:tc>
        <w:tc>
          <w:tcPr>
            <w:tcW w:w="2052" w:type="dxa"/>
            <w:vAlign w:val="center"/>
          </w:tcPr>
          <w:p w14:paraId="275E913C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1F667A3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14F2C4F0" w14:textId="77777777" w:rsidR="00D22B3A" w:rsidRPr="00763A84" w:rsidRDefault="00D22B3A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</w:p>
        </w:tc>
      </w:tr>
      <w:tr w:rsidR="00D22B3A" w:rsidRPr="002A2D01" w14:paraId="0CD42137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128B3B66" w14:textId="77777777" w:rsidR="00D22B3A" w:rsidRPr="002A2D01" w:rsidRDefault="00D22B3A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E0B45D" w14:textId="77777777" w:rsidR="00D22B3A" w:rsidRPr="00795767" w:rsidRDefault="00795767" w:rsidP="00795767">
            <w:pPr>
              <w:ind w:leftChars="-37" w:left="-81"/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五、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冷却水循环机参数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</w:p>
          <w:p w14:paraId="027279C5" w14:textId="31D4D56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、工作温度范围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:5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~35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2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、温度稳定性：±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0.1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、显示精度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0.1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4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、制冷量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(25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℃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)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1600W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、泵流量压力：≥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4.5L/min@3.5bar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6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、水槽容积：≥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13L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7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、质保期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年以上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br/>
              <w:t>8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、可匹配连接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FOSS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索氏提取仪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2043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使用</w:t>
            </w:r>
          </w:p>
        </w:tc>
        <w:tc>
          <w:tcPr>
            <w:tcW w:w="2052" w:type="dxa"/>
            <w:vAlign w:val="center"/>
          </w:tcPr>
          <w:p w14:paraId="7CB63981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5C8F9E1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3A2732C9" w14:textId="77777777" w:rsidR="00D22B3A" w:rsidRPr="00763A84" w:rsidRDefault="00D22B3A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</w:p>
        </w:tc>
      </w:tr>
      <w:tr w:rsidR="00D22B3A" w:rsidRPr="002A2D01" w14:paraId="0DB1BA8A" w14:textId="77777777" w:rsidTr="00D22B3A">
        <w:trPr>
          <w:trHeight w:val="756"/>
        </w:trPr>
        <w:tc>
          <w:tcPr>
            <w:tcW w:w="567" w:type="dxa"/>
            <w:vAlign w:val="center"/>
          </w:tcPr>
          <w:p w14:paraId="19CB8737" w14:textId="77777777" w:rsidR="00D22B3A" w:rsidRPr="002A2D01" w:rsidRDefault="00D22B3A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0BA10A" w14:textId="77777777" w:rsidR="00D22B3A" w:rsidRPr="00795767" w:rsidRDefault="00795767" w:rsidP="00795767">
            <w:pPr>
              <w:ind w:leftChars="-37" w:left="-81"/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六、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便携式</w:t>
            </w:r>
            <w:proofErr w:type="gramStart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余氯总氯测定</w:t>
            </w:r>
            <w:proofErr w:type="gramEnd"/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仪参数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</w:p>
          <w:p w14:paraId="33A2686E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、采用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515nmLED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光源；</w:t>
            </w:r>
          </w:p>
          <w:p w14:paraId="788D0226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、采用高性能低功耗单片机技术，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lastRenderedPageBreak/>
              <w:t>良好人机界面；</w:t>
            </w:r>
          </w:p>
          <w:p w14:paraId="549862DD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、支持单点和多点校准，支持用户编辑校准曲线；</w:t>
            </w:r>
          </w:p>
          <w:p w14:paraId="7515AA40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、支持两个参数各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200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组测试数据，符合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GLP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规范；</w:t>
            </w:r>
          </w:p>
          <w:p w14:paraId="5B313DA7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、支持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USB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通讯，支持连接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PC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进行数据采集；</w:t>
            </w:r>
          </w:p>
          <w:p w14:paraId="0B1718CC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、支持电池供电和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USB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供电，支持电源管理功能，可设置自动关闭光源和自动关机；</w:t>
            </w:r>
          </w:p>
          <w:p w14:paraId="101EF785" w14:textId="77777777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IP65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防护等级，良好防水防尘性能；</w:t>
            </w:r>
          </w:p>
          <w:p w14:paraId="300F036D" w14:textId="36848B45" w:rsidR="00795767" w:rsidRPr="00795767" w:rsidRDefault="00795767" w:rsidP="00795767">
            <w:pPr>
              <w:ind w:leftChars="-37" w:left="-81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5767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Pr="0079576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、支持固件升级，允许功能扩展和应用拓展。</w:t>
            </w:r>
          </w:p>
        </w:tc>
        <w:tc>
          <w:tcPr>
            <w:tcW w:w="2052" w:type="dxa"/>
            <w:vAlign w:val="center"/>
          </w:tcPr>
          <w:p w14:paraId="4B033A26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DA9D91" w14:textId="77777777" w:rsidR="00D22B3A" w:rsidRPr="002A2D01" w:rsidRDefault="00D22B3A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3EDBB4BE" w14:textId="77777777" w:rsidR="00D22B3A" w:rsidRPr="00763A84" w:rsidRDefault="00D22B3A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</w:p>
        </w:tc>
      </w:tr>
      <w:tr w:rsidR="0038781E" w:rsidRPr="002A2D01" w14:paraId="3C3DED53" w14:textId="77777777" w:rsidTr="00D22B3A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B8C38EA" w14:textId="05172590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自合同签订之日起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60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日历天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内完成所有货物到货、安装和验收</w:t>
            </w:r>
          </w:p>
        </w:tc>
        <w:tc>
          <w:tcPr>
            <w:tcW w:w="2052" w:type="dxa"/>
            <w:vAlign w:val="center"/>
          </w:tcPr>
          <w:p w14:paraId="0D702F7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D22B3A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8698322" w14:textId="3E1C88B0" w:rsidR="0038781E" w:rsidRPr="00C77CB1" w:rsidRDefault="0038781E" w:rsidP="00D32555">
            <w:pPr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自验收合格后保修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年。质保期内卖方提供上门免费服务，在质保期内设置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7×24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小时技术支持热线电话。如电话响应无法解决，则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小时内到现场，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小时内恢复设备正常运行。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小时内无法恢复的，须提供同类型的替代新产品给我院使用。质保期后，卖方须提供终生维护。质保期内至少提供一年一次的常规检查及保养免费服务，使其保持安全、正常使用的状态，设备软件永久免费更新。</w:t>
            </w:r>
          </w:p>
        </w:tc>
        <w:tc>
          <w:tcPr>
            <w:tcW w:w="2052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880694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586E7BC0" w14:textId="77777777" w:rsidTr="00D22B3A">
        <w:trPr>
          <w:trHeight w:val="1709"/>
        </w:trPr>
        <w:tc>
          <w:tcPr>
            <w:tcW w:w="567" w:type="dxa"/>
            <w:vAlign w:val="center"/>
          </w:tcPr>
          <w:p w14:paraId="1607A454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E37E27D" w14:textId="6ACA4F4F" w:rsidR="0038781E" w:rsidRPr="0004280F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提供近两年来该类设备的销售业绩（提供清单，并附上</w:t>
            </w:r>
            <w:proofErr w:type="gramStart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附合同</w:t>
            </w:r>
            <w:proofErr w:type="gramEnd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关键页复印件，含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清晰的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合同项目名称、合同金额、签订合同双方的落款盖章，合同期限等）。</w:t>
            </w:r>
          </w:p>
        </w:tc>
        <w:tc>
          <w:tcPr>
            <w:tcW w:w="2052" w:type="dxa"/>
            <w:vAlign w:val="center"/>
          </w:tcPr>
          <w:p w14:paraId="00F8A33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D9930BE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8EFCDB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B442AC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66156724" w14:textId="77777777" w:rsidTr="00D22B3A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4F52A7" w14:textId="2D6322EB" w:rsidR="004B20DF" w:rsidRPr="0004280F" w:rsidRDefault="004B20DF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售后服务点及售后承诺</w:t>
            </w:r>
          </w:p>
        </w:tc>
        <w:tc>
          <w:tcPr>
            <w:tcW w:w="2052" w:type="dxa"/>
            <w:vAlign w:val="center"/>
          </w:tcPr>
          <w:p w14:paraId="5122BCC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3F6152" w14:textId="77777777" w:rsidR="004B20DF" w:rsidRPr="002A2D01" w:rsidRDefault="004B20DF" w:rsidP="00B81D3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4D85595C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77EB25E3" w14:textId="77777777" w:rsidTr="00D22B3A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BD216C" w14:textId="29474DD0" w:rsidR="004B20DF" w:rsidRPr="0004280F" w:rsidRDefault="004B20DF" w:rsidP="00F072C7">
            <w:pPr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开具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13%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增值税专用发票。</w:t>
            </w:r>
          </w:p>
        </w:tc>
        <w:tc>
          <w:tcPr>
            <w:tcW w:w="2052" w:type="dxa"/>
            <w:vAlign w:val="center"/>
          </w:tcPr>
          <w:p w14:paraId="50B829A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F52D612" w14:textId="7E0E8313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DF" w:rsidRPr="002A2D01" w14:paraId="60C867DD" w14:textId="77777777" w:rsidTr="00D22B3A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E71F5B" w14:textId="6497088E" w:rsidR="004B20DF" w:rsidRPr="00C77CB1" w:rsidRDefault="004B20DF" w:rsidP="000D1054">
            <w:pPr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付款方式：</w:t>
            </w:r>
            <w:r w:rsidR="007E2B63" w:rsidRPr="000428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合同签订后，收到供方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个工作日内预付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30 %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2. 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双方确认设备验收合格、安装调试正常运行最佳后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个工作日内，供方通过转账等非现金方式向需方提交合同总金额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的履约保证金；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需方收到供方提交的履约保证金和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的合同全额发票后，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个工作日内，需方向供方支付合同总金额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的货款；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本合同约定的质</w:t>
            </w:r>
            <w:proofErr w:type="gramStart"/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保期间</w:t>
            </w:r>
            <w:proofErr w:type="gramEnd"/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供方无违约行为，在质保期满后供方向需方提出申请退还履约保证金，需方在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个工作日内向供方退还履约保证金（履约保证金不计利息）。</w:t>
            </w:r>
          </w:p>
        </w:tc>
        <w:tc>
          <w:tcPr>
            <w:tcW w:w="2052" w:type="dxa"/>
            <w:vAlign w:val="center"/>
          </w:tcPr>
          <w:p w14:paraId="13AAC49F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D22B3A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6BD4ADD" w14:textId="77777777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052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6681E589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</w:t>
      </w:r>
      <w:r w:rsidR="00B550C3">
        <w:rPr>
          <w:rFonts w:asciiTheme="minorEastAsia" w:eastAsiaTheme="minorEastAsia" w:hAnsiTheme="minorEastAsia" w:hint="eastAsia"/>
          <w:sz w:val="24"/>
          <w:szCs w:val="24"/>
        </w:rPr>
        <w:t>配工具</w:t>
      </w:r>
      <w:proofErr w:type="gramEnd"/>
      <w:r w:rsidR="00B550C3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C3A2CA6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D3BEF">
        <w:rPr>
          <w:rFonts w:asciiTheme="minorEastAsia" w:eastAsiaTheme="minorEastAsia" w:hAnsiTheme="minorEastAsia" w:hint="eastAsia"/>
          <w:sz w:val="24"/>
          <w:szCs w:val="24"/>
        </w:rPr>
        <w:t>、报价人对报价文件内容负全部法律责任</w:t>
      </w:r>
      <w:r w:rsidR="00B558F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D3B2763" w14:textId="77777777" w:rsidR="000D3BEF" w:rsidRDefault="00011F70" w:rsidP="000D3BEF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3BEF"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4A684B3E" w14:textId="3E389024" w:rsidR="000D3BEF" w:rsidRPr="000D3BEF" w:rsidRDefault="000D3BEF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1480BBC" w14:textId="095562D3" w:rsidR="00732D41" w:rsidRPr="002A2D01" w:rsidRDefault="00F67CE6" w:rsidP="002A2D01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</w:p>
    <w:p w14:paraId="50A6A084" w14:textId="77777777" w:rsidR="00031D67" w:rsidRDefault="00031D67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bookmarkStart w:id="1" w:name="_Toc435514863"/>
      <w:bookmarkStart w:id="2" w:name="_Toc435515303"/>
    </w:p>
    <w:p w14:paraId="2A4F7EF6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6C67C02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7902DFF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01415E3E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43C91264" w14:textId="77777777" w:rsidR="000D3BEF" w:rsidRDefault="000D3BEF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5ECFE2F3" w14:textId="77777777" w:rsidR="00B558FA" w:rsidRPr="002A2D01" w:rsidRDefault="00B558FA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40C6CB1E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Pr="004752D5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lastRenderedPageBreak/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D5C7" w14:textId="77777777" w:rsidR="0057730F" w:rsidRDefault="0057730F" w:rsidP="00872DB4">
      <w:pPr>
        <w:spacing w:after="0"/>
      </w:pPr>
      <w:r>
        <w:separator/>
      </w:r>
    </w:p>
  </w:endnote>
  <w:endnote w:type="continuationSeparator" w:id="0">
    <w:p w14:paraId="6DF02790" w14:textId="77777777" w:rsidR="0057730F" w:rsidRDefault="0057730F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729E" w14:textId="77777777" w:rsidR="0057730F" w:rsidRDefault="0057730F" w:rsidP="00872DB4">
      <w:pPr>
        <w:spacing w:after="0"/>
      </w:pPr>
      <w:r>
        <w:separator/>
      </w:r>
    </w:p>
  </w:footnote>
  <w:footnote w:type="continuationSeparator" w:id="0">
    <w:p w14:paraId="07D630FD" w14:textId="77777777" w:rsidR="0057730F" w:rsidRDefault="0057730F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10">
    <w:nsid w:val="7A69555B"/>
    <w:multiLevelType w:val="hybridMultilevel"/>
    <w:tmpl w:val="D482FAE2"/>
    <w:lvl w:ilvl="0" w:tplc="50E616F6">
      <w:start w:val="1"/>
      <w:numFmt w:val="japaneseCounting"/>
      <w:lvlText w:val="%1、"/>
      <w:lvlJc w:val="left"/>
      <w:pPr>
        <w:ind w:left="399" w:hanging="480"/>
      </w:pPr>
      <w:rPr>
        <w:rFonts w:hint="default"/>
      </w:rPr>
    </w:lvl>
    <w:lvl w:ilvl="1" w:tplc="72746F4A">
      <w:start w:val="1"/>
      <w:numFmt w:val="decimal"/>
      <w:lvlText w:val="%2、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7800"/>
    <w:rsid w:val="00011F70"/>
    <w:rsid w:val="00023562"/>
    <w:rsid w:val="000259E0"/>
    <w:rsid w:val="00025E2E"/>
    <w:rsid w:val="00031D67"/>
    <w:rsid w:val="0004280F"/>
    <w:rsid w:val="000558F8"/>
    <w:rsid w:val="0005721B"/>
    <w:rsid w:val="00067280"/>
    <w:rsid w:val="000855E1"/>
    <w:rsid w:val="00086ED6"/>
    <w:rsid w:val="0009473E"/>
    <w:rsid w:val="000B16B8"/>
    <w:rsid w:val="000D0DA4"/>
    <w:rsid w:val="000D1054"/>
    <w:rsid w:val="000D3BEF"/>
    <w:rsid w:val="000D6ADE"/>
    <w:rsid w:val="000F0E05"/>
    <w:rsid w:val="000F3B48"/>
    <w:rsid w:val="000F63C5"/>
    <w:rsid w:val="00111A31"/>
    <w:rsid w:val="00163A7E"/>
    <w:rsid w:val="00164454"/>
    <w:rsid w:val="0016541A"/>
    <w:rsid w:val="00166B18"/>
    <w:rsid w:val="0016750E"/>
    <w:rsid w:val="001846E4"/>
    <w:rsid w:val="00195EC3"/>
    <w:rsid w:val="001A195E"/>
    <w:rsid w:val="001A7053"/>
    <w:rsid w:val="001B0D58"/>
    <w:rsid w:val="001B3C63"/>
    <w:rsid w:val="001C38B6"/>
    <w:rsid w:val="001D1AC0"/>
    <w:rsid w:val="001D26BB"/>
    <w:rsid w:val="001D3D3B"/>
    <w:rsid w:val="001E26CF"/>
    <w:rsid w:val="00200FC0"/>
    <w:rsid w:val="00215C1E"/>
    <w:rsid w:val="002170BB"/>
    <w:rsid w:val="0021719B"/>
    <w:rsid w:val="00217CEF"/>
    <w:rsid w:val="00230B84"/>
    <w:rsid w:val="00235E2A"/>
    <w:rsid w:val="002419BE"/>
    <w:rsid w:val="00254CB5"/>
    <w:rsid w:val="002557EA"/>
    <w:rsid w:val="0026603B"/>
    <w:rsid w:val="002673C3"/>
    <w:rsid w:val="00267D33"/>
    <w:rsid w:val="00270989"/>
    <w:rsid w:val="00272BB1"/>
    <w:rsid w:val="0028363F"/>
    <w:rsid w:val="00284153"/>
    <w:rsid w:val="002855E7"/>
    <w:rsid w:val="002A2D01"/>
    <w:rsid w:val="002A6A1F"/>
    <w:rsid w:val="002B31AA"/>
    <w:rsid w:val="002B5C28"/>
    <w:rsid w:val="002B630F"/>
    <w:rsid w:val="002B643F"/>
    <w:rsid w:val="002C5079"/>
    <w:rsid w:val="002D1611"/>
    <w:rsid w:val="002D44D8"/>
    <w:rsid w:val="002E04AD"/>
    <w:rsid w:val="002E1432"/>
    <w:rsid w:val="0031100D"/>
    <w:rsid w:val="00325C0A"/>
    <w:rsid w:val="00326DA8"/>
    <w:rsid w:val="00331307"/>
    <w:rsid w:val="003433F9"/>
    <w:rsid w:val="00343428"/>
    <w:rsid w:val="00354D47"/>
    <w:rsid w:val="00362A36"/>
    <w:rsid w:val="0038781E"/>
    <w:rsid w:val="00392122"/>
    <w:rsid w:val="003B7324"/>
    <w:rsid w:val="003B76EC"/>
    <w:rsid w:val="003E191B"/>
    <w:rsid w:val="003F0950"/>
    <w:rsid w:val="00404E7C"/>
    <w:rsid w:val="0041521A"/>
    <w:rsid w:val="00430D8E"/>
    <w:rsid w:val="0044729A"/>
    <w:rsid w:val="00450FE6"/>
    <w:rsid w:val="00456639"/>
    <w:rsid w:val="004752D5"/>
    <w:rsid w:val="00481BB9"/>
    <w:rsid w:val="0048209A"/>
    <w:rsid w:val="004A0436"/>
    <w:rsid w:val="004A56C8"/>
    <w:rsid w:val="004B20DF"/>
    <w:rsid w:val="004D084C"/>
    <w:rsid w:val="004E6DA6"/>
    <w:rsid w:val="00512AC6"/>
    <w:rsid w:val="0051413A"/>
    <w:rsid w:val="00516992"/>
    <w:rsid w:val="00522517"/>
    <w:rsid w:val="00530338"/>
    <w:rsid w:val="00531B2B"/>
    <w:rsid w:val="0053473B"/>
    <w:rsid w:val="00546239"/>
    <w:rsid w:val="00546F53"/>
    <w:rsid w:val="00557058"/>
    <w:rsid w:val="0056272B"/>
    <w:rsid w:val="00563505"/>
    <w:rsid w:val="00571D74"/>
    <w:rsid w:val="005728FA"/>
    <w:rsid w:val="0057709A"/>
    <w:rsid w:val="0057730F"/>
    <w:rsid w:val="005829ED"/>
    <w:rsid w:val="0058439B"/>
    <w:rsid w:val="005903BD"/>
    <w:rsid w:val="005929AB"/>
    <w:rsid w:val="00593C29"/>
    <w:rsid w:val="005A093C"/>
    <w:rsid w:val="005A5DF4"/>
    <w:rsid w:val="005A6F8C"/>
    <w:rsid w:val="005B1963"/>
    <w:rsid w:val="005B23A3"/>
    <w:rsid w:val="005B3863"/>
    <w:rsid w:val="005C0C6B"/>
    <w:rsid w:val="005D58D0"/>
    <w:rsid w:val="005D7E19"/>
    <w:rsid w:val="005E66B9"/>
    <w:rsid w:val="005F0667"/>
    <w:rsid w:val="00607544"/>
    <w:rsid w:val="00634515"/>
    <w:rsid w:val="00641C7B"/>
    <w:rsid w:val="006438FB"/>
    <w:rsid w:val="0066496D"/>
    <w:rsid w:val="00686C0D"/>
    <w:rsid w:val="00692E06"/>
    <w:rsid w:val="0069410B"/>
    <w:rsid w:val="00694640"/>
    <w:rsid w:val="006A7E42"/>
    <w:rsid w:val="006B3494"/>
    <w:rsid w:val="006B4F3D"/>
    <w:rsid w:val="006C2279"/>
    <w:rsid w:val="006C502C"/>
    <w:rsid w:val="006D2D75"/>
    <w:rsid w:val="006D583E"/>
    <w:rsid w:val="006F09EA"/>
    <w:rsid w:val="006F6C88"/>
    <w:rsid w:val="0071224B"/>
    <w:rsid w:val="00721B37"/>
    <w:rsid w:val="00732D41"/>
    <w:rsid w:val="007334A7"/>
    <w:rsid w:val="00744834"/>
    <w:rsid w:val="007524F8"/>
    <w:rsid w:val="00753157"/>
    <w:rsid w:val="00763A84"/>
    <w:rsid w:val="007808EC"/>
    <w:rsid w:val="0079039C"/>
    <w:rsid w:val="00791965"/>
    <w:rsid w:val="00795767"/>
    <w:rsid w:val="007D39BF"/>
    <w:rsid w:val="007D5FC8"/>
    <w:rsid w:val="007E07DB"/>
    <w:rsid w:val="007E0DE4"/>
    <w:rsid w:val="007E2B63"/>
    <w:rsid w:val="007E4640"/>
    <w:rsid w:val="007F014D"/>
    <w:rsid w:val="007F43AE"/>
    <w:rsid w:val="007F6833"/>
    <w:rsid w:val="0080109B"/>
    <w:rsid w:val="00817A0D"/>
    <w:rsid w:val="008332D2"/>
    <w:rsid w:val="0083625F"/>
    <w:rsid w:val="00840716"/>
    <w:rsid w:val="00862EE3"/>
    <w:rsid w:val="00872DB4"/>
    <w:rsid w:val="008748AA"/>
    <w:rsid w:val="00876F44"/>
    <w:rsid w:val="0088763D"/>
    <w:rsid w:val="0089577D"/>
    <w:rsid w:val="008A4B42"/>
    <w:rsid w:val="008B3096"/>
    <w:rsid w:val="008B4DCD"/>
    <w:rsid w:val="008C2152"/>
    <w:rsid w:val="008C333C"/>
    <w:rsid w:val="008C5314"/>
    <w:rsid w:val="008C58F0"/>
    <w:rsid w:val="008D5EFD"/>
    <w:rsid w:val="008D66D0"/>
    <w:rsid w:val="008F41F0"/>
    <w:rsid w:val="00902CFA"/>
    <w:rsid w:val="00903F70"/>
    <w:rsid w:val="0090640F"/>
    <w:rsid w:val="00922B8D"/>
    <w:rsid w:val="00927A2D"/>
    <w:rsid w:val="00931E35"/>
    <w:rsid w:val="009520D7"/>
    <w:rsid w:val="00957F80"/>
    <w:rsid w:val="0096263D"/>
    <w:rsid w:val="00963D38"/>
    <w:rsid w:val="009833F9"/>
    <w:rsid w:val="009B459E"/>
    <w:rsid w:val="009C47F0"/>
    <w:rsid w:val="009D04D4"/>
    <w:rsid w:val="009D2BDE"/>
    <w:rsid w:val="009D475C"/>
    <w:rsid w:val="009D74DB"/>
    <w:rsid w:val="009F1917"/>
    <w:rsid w:val="009F488A"/>
    <w:rsid w:val="00A14CC0"/>
    <w:rsid w:val="00A158AB"/>
    <w:rsid w:val="00A15B5E"/>
    <w:rsid w:val="00A25505"/>
    <w:rsid w:val="00A672F4"/>
    <w:rsid w:val="00A730CE"/>
    <w:rsid w:val="00A80FBF"/>
    <w:rsid w:val="00AA12F8"/>
    <w:rsid w:val="00AB2064"/>
    <w:rsid w:val="00AB5B6D"/>
    <w:rsid w:val="00AB72C8"/>
    <w:rsid w:val="00AC41D4"/>
    <w:rsid w:val="00AE4BA6"/>
    <w:rsid w:val="00B06353"/>
    <w:rsid w:val="00B10991"/>
    <w:rsid w:val="00B24901"/>
    <w:rsid w:val="00B2561D"/>
    <w:rsid w:val="00B4227A"/>
    <w:rsid w:val="00B46854"/>
    <w:rsid w:val="00B550C3"/>
    <w:rsid w:val="00B558FA"/>
    <w:rsid w:val="00B56B3D"/>
    <w:rsid w:val="00B96B1D"/>
    <w:rsid w:val="00BA6290"/>
    <w:rsid w:val="00BC6039"/>
    <w:rsid w:val="00BE65CD"/>
    <w:rsid w:val="00C14F6C"/>
    <w:rsid w:val="00C238F6"/>
    <w:rsid w:val="00C27E2C"/>
    <w:rsid w:val="00C42359"/>
    <w:rsid w:val="00C455F5"/>
    <w:rsid w:val="00C4588C"/>
    <w:rsid w:val="00C53124"/>
    <w:rsid w:val="00C66983"/>
    <w:rsid w:val="00C77CB1"/>
    <w:rsid w:val="00C85A49"/>
    <w:rsid w:val="00CA2C96"/>
    <w:rsid w:val="00CC1BB6"/>
    <w:rsid w:val="00CC2C91"/>
    <w:rsid w:val="00CD22D1"/>
    <w:rsid w:val="00CE7790"/>
    <w:rsid w:val="00D041DC"/>
    <w:rsid w:val="00D051E0"/>
    <w:rsid w:val="00D1397F"/>
    <w:rsid w:val="00D216DA"/>
    <w:rsid w:val="00D22B3A"/>
    <w:rsid w:val="00D25094"/>
    <w:rsid w:val="00D2574D"/>
    <w:rsid w:val="00D32555"/>
    <w:rsid w:val="00D35F35"/>
    <w:rsid w:val="00D42009"/>
    <w:rsid w:val="00D53B7B"/>
    <w:rsid w:val="00D57C95"/>
    <w:rsid w:val="00D65914"/>
    <w:rsid w:val="00D7610E"/>
    <w:rsid w:val="00D83869"/>
    <w:rsid w:val="00D8458C"/>
    <w:rsid w:val="00D8604B"/>
    <w:rsid w:val="00D94EFF"/>
    <w:rsid w:val="00D978DE"/>
    <w:rsid w:val="00DB44F3"/>
    <w:rsid w:val="00DB5BC0"/>
    <w:rsid w:val="00DC50AA"/>
    <w:rsid w:val="00DD5957"/>
    <w:rsid w:val="00DE09C2"/>
    <w:rsid w:val="00DE2668"/>
    <w:rsid w:val="00E142A3"/>
    <w:rsid w:val="00E2455D"/>
    <w:rsid w:val="00E253F0"/>
    <w:rsid w:val="00E260FA"/>
    <w:rsid w:val="00E32245"/>
    <w:rsid w:val="00E450C0"/>
    <w:rsid w:val="00E472F9"/>
    <w:rsid w:val="00E51B33"/>
    <w:rsid w:val="00E61ECF"/>
    <w:rsid w:val="00E74710"/>
    <w:rsid w:val="00E90772"/>
    <w:rsid w:val="00E927BE"/>
    <w:rsid w:val="00EA05EC"/>
    <w:rsid w:val="00EA31C3"/>
    <w:rsid w:val="00EB4501"/>
    <w:rsid w:val="00ED7CE0"/>
    <w:rsid w:val="00EE0048"/>
    <w:rsid w:val="00EE586D"/>
    <w:rsid w:val="00EE5ACE"/>
    <w:rsid w:val="00EF1999"/>
    <w:rsid w:val="00EF7306"/>
    <w:rsid w:val="00F02ACD"/>
    <w:rsid w:val="00F072C7"/>
    <w:rsid w:val="00F15956"/>
    <w:rsid w:val="00F26FD8"/>
    <w:rsid w:val="00F31E3F"/>
    <w:rsid w:val="00F47DCC"/>
    <w:rsid w:val="00F5491F"/>
    <w:rsid w:val="00F6312B"/>
    <w:rsid w:val="00F67CE6"/>
    <w:rsid w:val="00F70C83"/>
    <w:rsid w:val="00F77BD9"/>
    <w:rsid w:val="00F83103"/>
    <w:rsid w:val="00F8628B"/>
    <w:rsid w:val="00F950F7"/>
    <w:rsid w:val="00FA620F"/>
    <w:rsid w:val="00FC190F"/>
    <w:rsid w:val="00FE2DF8"/>
    <w:rsid w:val="00FE3E21"/>
    <w:rsid w:val="00FE5FDB"/>
    <w:rsid w:val="00FF38E6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CD774-E156-4076-AAD4-8565DD4C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845</Words>
  <Characters>4819</Characters>
  <Application>Microsoft Office Word</Application>
  <DocSecurity>0</DocSecurity>
  <Lines>40</Lines>
  <Paragraphs>11</Paragraphs>
  <ScaleCrop>false</ScaleCrop>
  <Company>微软中国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杨俊业</cp:lastModifiedBy>
  <cp:revision>3</cp:revision>
  <cp:lastPrinted>2017-03-14T02:22:00Z</cp:lastPrinted>
  <dcterms:created xsi:type="dcterms:W3CDTF">2021-10-20T07:45:00Z</dcterms:created>
  <dcterms:modified xsi:type="dcterms:W3CDTF">2021-10-20T08:02:00Z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