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840" w:firstLineChars="300"/>
        <w:rPr>
          <w:rFonts w:ascii="黑体" w:eastAsia="黑体"/>
          <w:sz w:val="28"/>
          <w:szCs w:val="28"/>
        </w:rPr>
      </w:pPr>
      <w:r>
        <w:rPr>
          <w:rFonts w:ascii="黑体"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5161915</wp:posOffset>
                </wp:positionH>
                <wp:positionV relativeFrom="paragraph">
                  <wp:posOffset>198120</wp:posOffset>
                </wp:positionV>
                <wp:extent cx="1371600" cy="28765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wps:spPr>
                      <wps:txbx>
                        <w:txbxContent>
                          <w:p>
                            <w:r>
                              <w:rPr>
                                <w:rFonts w:hint="eastAsia"/>
                              </w:rPr>
                              <w:t>编号：</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06.45pt;margin-top:15.6pt;height:22.65pt;width:108pt;z-index:251662336;mso-width-relative:page;mso-height-relative:page;" filled="f" stroked="f" coordsize="21600,21600" o:gfxdata="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KtqQ2AAAAAoBAAAPAAAAAAAAAAEAIAAAACIAAABk&#10;cnMvZG93bnJldi54bWxQSwECFAAUAAAACACHTuJAnogQ4QYCAAAUBAAADgAAAAAAAAABACAAAAAn&#10;AQAAZHJzL2Uyb0RvYy54bWxQSwUGAAAAAAYABgBZAQAAnwUAAAAA&#10;">
                <v:fill on="f" focussize="0,0"/>
                <v:stroke on="f"/>
                <v:imagedata o:title=""/>
                <o:lock v:ext="edit" aspectratio="f"/>
                <v:textbox>
                  <w:txbxContent>
                    <w:p>
                      <w:r>
                        <w:rPr>
                          <w:rFonts w:hint="eastAsia"/>
                        </w:rPr>
                        <w:t>编号：</w:t>
                      </w:r>
                    </w:p>
                  </w:txbxContent>
                </v:textbox>
              </v:shape>
            </w:pict>
          </mc:Fallback>
        </mc:AlternateContent>
      </w:r>
      <w:r>
        <w:rPr>
          <w:rFonts w:hint="eastAsia" w:ascii="黑体" w:eastAsia="黑体"/>
          <w:sz w:val="28"/>
          <w:szCs w:val="28"/>
        </w:rPr>
        <w:t>广东产品质量监督检验研究院 皮具、箱包及鞋类产品检测协议书</w:t>
      </w:r>
    </w:p>
    <w:p>
      <w:pPr>
        <w:spacing w:line="360" w:lineRule="exact"/>
        <w:ind w:firstLine="181" w:firstLineChars="100"/>
        <w:rPr>
          <w:rFonts w:ascii="黑体" w:eastAsia="黑体"/>
          <w:sz w:val="30"/>
          <w:szCs w:val="30"/>
        </w:rPr>
      </w:pPr>
      <w:r>
        <w:rPr>
          <w:rFonts w:hint="eastAsia" w:ascii="宋体" w:hAnsi="宋体"/>
          <w:b/>
          <w:bCs/>
          <w:sz w:val="18"/>
          <w:szCs w:val="21"/>
        </w:rPr>
        <w:t>带</w:t>
      </w:r>
      <w:r>
        <w:rPr>
          <w:rFonts w:hint="eastAsia"/>
          <w:b/>
          <w:bCs/>
          <w:sz w:val="18"/>
          <w:szCs w:val="21"/>
        </w:rPr>
        <w:t>*</w:t>
      </w:r>
      <w:r>
        <w:rPr>
          <w:rFonts w:hint="eastAsia" w:ascii="宋体" w:hAnsi="宋体"/>
          <w:b/>
          <w:bCs/>
          <w:sz w:val="18"/>
          <w:szCs w:val="21"/>
        </w:rPr>
        <w:t xml:space="preserve">部分为送检方必填项     </w:t>
      </w:r>
    </w:p>
    <w:tbl>
      <w:tblPr>
        <w:tblStyle w:val="5"/>
        <w:tblW w:w="11199" w:type="dxa"/>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59"/>
        <w:gridCol w:w="350"/>
        <w:gridCol w:w="1134"/>
        <w:gridCol w:w="830"/>
        <w:gridCol w:w="3825"/>
        <w:gridCol w:w="19"/>
        <w:gridCol w:w="391"/>
        <w:gridCol w:w="743"/>
        <w:gridCol w:w="1138"/>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334" w:type="dxa"/>
            <w:gridSpan w:val="8"/>
            <w:vAlign w:val="center"/>
          </w:tcPr>
          <w:p>
            <w:pPr>
              <w:rPr>
                <w:sz w:val="18"/>
                <w:szCs w:val="18"/>
              </w:rPr>
            </w:pPr>
            <w:r>
              <w:rPr>
                <w:sz w:val="18"/>
                <w:szCs w:val="18"/>
              </w:rPr>
              <w:t>*</w:t>
            </w:r>
            <w:r>
              <w:rPr>
                <w:rFonts w:hint="eastAsia"/>
                <w:sz w:val="18"/>
                <w:szCs w:val="18"/>
              </w:rPr>
              <w:t xml:space="preserve">委托方名称： </w:t>
            </w:r>
            <w:r>
              <w:rPr>
                <w:sz w:val="18"/>
                <w:szCs w:val="18"/>
              </w:rPr>
              <w:t xml:space="preserve"> </w:t>
            </w:r>
          </w:p>
        </w:tc>
        <w:tc>
          <w:tcPr>
            <w:tcW w:w="1881" w:type="dxa"/>
            <w:gridSpan w:val="2"/>
            <w:vAlign w:val="center"/>
          </w:tcPr>
          <w:p>
            <w:pPr>
              <w:rPr>
                <w:sz w:val="18"/>
                <w:szCs w:val="18"/>
              </w:rPr>
            </w:pPr>
            <w:r>
              <w:rPr>
                <w:rFonts w:ascii="宋体" w:hAnsi="宋体"/>
                <w:szCs w:val="21"/>
              </w:rPr>
              <w:t>*</w:t>
            </w:r>
            <w:r>
              <w:rPr>
                <w:rFonts w:hint="eastAsia"/>
                <w:sz w:val="18"/>
                <w:szCs w:val="18"/>
              </w:rPr>
              <w:t xml:space="preserve">联系人： </w:t>
            </w:r>
          </w:p>
        </w:tc>
        <w:tc>
          <w:tcPr>
            <w:tcW w:w="1984" w:type="dxa"/>
            <w:vAlign w:val="center"/>
          </w:tcPr>
          <w:p>
            <w:pPr>
              <w:rPr>
                <w:sz w:val="18"/>
                <w:szCs w:val="18"/>
              </w:rPr>
            </w:pPr>
            <w:r>
              <w:rPr>
                <w:rFonts w:ascii="宋体" w:hAnsi="宋体"/>
                <w:szCs w:val="21"/>
              </w:rPr>
              <w:t>*</w:t>
            </w:r>
            <w:r>
              <w:rPr>
                <w:rFonts w:hint="eastAsia"/>
                <w:sz w:val="18"/>
                <w:szCs w:val="18"/>
              </w:rPr>
              <w:t>电话/手机：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1199" w:type="dxa"/>
            <w:gridSpan w:val="11"/>
            <w:vAlign w:val="center"/>
          </w:tcPr>
          <w:p>
            <w:pPr>
              <w:rPr>
                <w:sz w:val="18"/>
                <w:szCs w:val="18"/>
              </w:rPr>
            </w:pPr>
            <w:r>
              <w:rPr>
                <w:rFonts w:hint="eastAsia"/>
                <w:sz w:val="18"/>
                <w:szCs w:val="18"/>
              </w:rPr>
              <w:t>委托方地址：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334" w:type="dxa"/>
            <w:gridSpan w:val="8"/>
            <w:vAlign w:val="center"/>
          </w:tcPr>
          <w:p>
            <w:pP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委托方认定生产方名称：</w:t>
            </w:r>
          </w:p>
        </w:tc>
        <w:tc>
          <w:tcPr>
            <w:tcW w:w="1881" w:type="dxa"/>
            <w:gridSpan w:val="2"/>
            <w:vAlign w:val="center"/>
          </w:tcPr>
          <w:p>
            <w:pPr>
              <w:rPr>
                <w:rFonts w:hint="eastAsia" w:eastAsia="宋体"/>
                <w:sz w:val="18"/>
                <w:szCs w:val="18"/>
                <w:lang w:val="en-US" w:eastAsia="zh-CN"/>
              </w:rPr>
            </w:pPr>
            <w:r>
              <w:rPr>
                <w:rFonts w:hint="eastAsia"/>
                <w:sz w:val="18"/>
                <w:szCs w:val="18"/>
              </w:rPr>
              <w:t xml:space="preserve">联系人： </w:t>
            </w:r>
          </w:p>
        </w:tc>
        <w:tc>
          <w:tcPr>
            <w:tcW w:w="1984" w:type="dxa"/>
            <w:vAlign w:val="center"/>
          </w:tcPr>
          <w:p>
            <w:pPr>
              <w:rPr>
                <w:rFonts w:hint="eastAsia" w:eastAsia="宋体"/>
                <w:sz w:val="18"/>
                <w:szCs w:val="18"/>
                <w:lang w:val="en-US" w:eastAsia="zh-CN"/>
              </w:rPr>
            </w:pPr>
            <w:r>
              <w:rPr>
                <w:rFonts w:hint="eastAsia"/>
                <w:sz w:val="18"/>
                <w:szCs w:val="18"/>
              </w:rPr>
              <w:t>电话/手机：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1199" w:type="dxa"/>
            <w:gridSpan w:val="11"/>
            <w:vAlign w:val="center"/>
          </w:tcPr>
          <w:p>
            <w:pPr>
              <w:rPr>
                <w:rFonts w:hint="eastAsia" w:ascii="宋体" w:hAnsi="宋体" w:eastAsia="宋体"/>
                <w:szCs w:val="21"/>
                <w:lang w:val="en-US" w:eastAsia="zh-CN"/>
              </w:rPr>
            </w:pPr>
            <w:r>
              <w:rPr>
                <w:rFonts w:hint="eastAsia"/>
                <w:color w:val="000000" w:themeColor="text1"/>
                <w:sz w:val="18"/>
                <w:szCs w:val="18"/>
                <w14:textFill>
                  <w14:solidFill>
                    <w14:schemeClr w14:val="tx1"/>
                  </w14:solidFill>
                </w14:textFill>
              </w:rPr>
              <w:t>生产方地址：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199" w:type="dxa"/>
            <w:gridSpan w:val="11"/>
            <w:vAlign w:val="center"/>
          </w:tcPr>
          <w:p>
            <w:pPr>
              <w:pStyle w:val="2"/>
              <w:rPr>
                <w:color w:val="000000" w:themeColor="text1"/>
                <w14:textFill>
                  <w14:solidFill>
                    <w14:schemeClr w14:val="tx1"/>
                  </w14:solidFill>
                </w14:textFill>
              </w:rPr>
            </w:pPr>
            <w:r>
              <w:rPr>
                <w:rFonts w:ascii="宋体" w:hAnsi="宋体"/>
                <w:szCs w:val="21"/>
              </w:rPr>
              <w:t>*</w:t>
            </w:r>
            <w:r>
              <w:rPr>
                <w:rFonts w:hint="eastAsia"/>
                <w:color w:val="000000" w:themeColor="text1"/>
                <w14:textFill>
                  <w14:solidFill>
                    <w14:schemeClr w14:val="tx1"/>
                  </w14:solidFill>
                </w14:textFill>
              </w:rPr>
              <w:t>缴款单位：（付款时请注明检测单编号）□委托方 □生产方 □记帐（月结）□其他单位：</w:t>
            </w:r>
            <w:r>
              <w:rPr>
                <w:color w:val="000000" w:themeColor="text1"/>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85" w:type="dxa"/>
            <w:gridSpan w:val="2"/>
            <w:vMerge w:val="restart"/>
            <w:vAlign w:val="center"/>
          </w:tcPr>
          <w:p>
            <w:pPr>
              <w:pStyle w:val="2"/>
              <w:spacing w:line="2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委托方认定样品信息</w:t>
            </w:r>
          </w:p>
        </w:tc>
        <w:tc>
          <w:tcPr>
            <w:tcW w:w="2314" w:type="dxa"/>
            <w:gridSpan w:val="3"/>
            <w:vAlign w:val="center"/>
          </w:tcPr>
          <w:p>
            <w:pPr>
              <w:jc w:val="center"/>
              <w:rPr>
                <w:color w:val="000000" w:themeColor="text1"/>
                <w:sz w:val="18"/>
                <w:szCs w:val="18"/>
                <w14:textFill>
                  <w14:solidFill>
                    <w14:schemeClr w14:val="tx1"/>
                  </w14:solidFill>
                </w14:textFill>
              </w:rPr>
            </w:pPr>
            <w:r>
              <w:rPr>
                <w:sz w:val="18"/>
                <w:szCs w:val="18"/>
              </w:rPr>
              <w:t>*</w:t>
            </w:r>
            <w:r>
              <w:rPr>
                <w:rFonts w:hint="eastAsia"/>
                <w:color w:val="000000" w:themeColor="text1"/>
                <w:sz w:val="18"/>
                <w:szCs w:val="18"/>
                <w14:textFill>
                  <w14:solidFill>
                    <w14:schemeClr w14:val="tx1"/>
                  </w14:solidFill>
                </w14:textFill>
              </w:rPr>
              <w:t>样品名称</w:t>
            </w:r>
          </w:p>
        </w:tc>
        <w:tc>
          <w:tcPr>
            <w:tcW w:w="3844" w:type="dxa"/>
            <w:gridSpan w:val="2"/>
            <w:vAlign w:val="center"/>
          </w:tcPr>
          <w:p>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批号款号、规格、颜色</w:t>
            </w:r>
          </w:p>
        </w:tc>
        <w:tc>
          <w:tcPr>
            <w:tcW w:w="1134" w:type="dxa"/>
            <w:gridSpan w:val="2"/>
            <w:vAlign w:val="center"/>
          </w:tcPr>
          <w:p>
            <w:pPr>
              <w:jc w:val="center"/>
              <w:rPr>
                <w:sz w:val="18"/>
                <w:szCs w:val="18"/>
              </w:rPr>
            </w:pPr>
            <w:r>
              <w:rPr>
                <w:rFonts w:hint="eastAsia"/>
                <w:sz w:val="18"/>
                <w:szCs w:val="18"/>
              </w:rPr>
              <w:t>商标</w:t>
            </w:r>
          </w:p>
        </w:tc>
        <w:tc>
          <w:tcPr>
            <w:tcW w:w="1138" w:type="dxa"/>
            <w:vAlign w:val="center"/>
          </w:tcPr>
          <w:p>
            <w:pPr>
              <w:jc w:val="center"/>
              <w:rPr>
                <w:sz w:val="18"/>
                <w:szCs w:val="18"/>
              </w:rPr>
            </w:pPr>
            <w:r>
              <w:rPr>
                <w:sz w:val="18"/>
                <w:szCs w:val="18"/>
              </w:rPr>
              <w:t>*</w:t>
            </w:r>
            <w:r>
              <w:rPr>
                <w:rFonts w:hint="eastAsia"/>
                <w:sz w:val="18"/>
                <w:szCs w:val="18"/>
              </w:rPr>
              <w:t>数量/单位</w:t>
            </w:r>
          </w:p>
        </w:tc>
        <w:tc>
          <w:tcPr>
            <w:tcW w:w="1984" w:type="dxa"/>
            <w:vAlign w:val="center"/>
          </w:tcPr>
          <w:p>
            <w:pPr>
              <w:jc w:val="center"/>
              <w:rPr>
                <w:sz w:val="18"/>
                <w:szCs w:val="18"/>
              </w:rPr>
            </w:pPr>
            <w:r>
              <w:rPr>
                <w:rFonts w:hint="eastAsia"/>
                <w:sz w:val="18"/>
                <w:szCs w:val="18"/>
              </w:rPr>
              <w:t xml:space="preserve"> 检测单编号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85" w:type="dxa"/>
            <w:gridSpan w:val="2"/>
            <w:vMerge w:val="continue"/>
            <w:vAlign w:val="center"/>
          </w:tcPr>
          <w:p>
            <w:pPr>
              <w:pStyle w:val="2"/>
              <w:rPr>
                <w:rFonts w:ascii="宋体" w:hAnsi="宋体"/>
                <w:color w:val="000000" w:themeColor="text1"/>
                <w:szCs w:val="21"/>
                <w14:textFill>
                  <w14:solidFill>
                    <w14:schemeClr w14:val="tx1"/>
                  </w14:solidFill>
                </w14:textFill>
              </w:rPr>
            </w:pPr>
          </w:p>
        </w:tc>
        <w:tc>
          <w:tcPr>
            <w:tcW w:w="2314"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3844" w:type="dxa"/>
            <w:gridSpan w:val="2"/>
            <w:vAlign w:val="center"/>
          </w:tcPr>
          <w:p>
            <w:pPr>
              <w:widowControl/>
              <w:jc w:val="center"/>
              <w:rPr>
                <w:color w:val="000000" w:themeColor="text1"/>
                <w:sz w:val="18"/>
                <w:szCs w:val="18"/>
                <w14:textFill>
                  <w14:solidFill>
                    <w14:schemeClr w14:val="tx1"/>
                  </w14:solidFill>
                </w14:textFill>
              </w:rPr>
            </w:pPr>
          </w:p>
        </w:tc>
        <w:tc>
          <w:tcPr>
            <w:tcW w:w="1134" w:type="dxa"/>
            <w:gridSpan w:val="2"/>
            <w:vAlign w:val="center"/>
          </w:tcPr>
          <w:p>
            <w:pPr>
              <w:jc w:val="center"/>
              <w:rPr>
                <w:sz w:val="18"/>
                <w:szCs w:val="18"/>
              </w:rPr>
            </w:pPr>
          </w:p>
        </w:tc>
        <w:tc>
          <w:tcPr>
            <w:tcW w:w="1138" w:type="dxa"/>
            <w:vAlign w:val="center"/>
          </w:tcPr>
          <w:p>
            <w:pPr>
              <w:jc w:val="center"/>
              <w:rPr>
                <w:rFonts w:hint="default" w:eastAsia="宋体"/>
                <w:sz w:val="18"/>
                <w:szCs w:val="18"/>
                <w:lang w:val="en-US" w:eastAsia="zh-CN"/>
              </w:rPr>
            </w:pPr>
          </w:p>
        </w:tc>
        <w:tc>
          <w:tcPr>
            <w:tcW w:w="1984" w:type="dxa"/>
            <w:vAlign w:val="center"/>
          </w:tcPr>
          <w:p>
            <w:pPr>
              <w:jc w:val="center"/>
              <w:rPr>
                <w:rFonts w:hint="eastAsia" w:eastAsia="宋体"/>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785" w:type="dxa"/>
            <w:gridSpan w:val="2"/>
            <w:vMerge w:val="continue"/>
            <w:vAlign w:val="center"/>
          </w:tcPr>
          <w:p>
            <w:pPr>
              <w:pStyle w:val="2"/>
              <w:rPr>
                <w:rFonts w:ascii="宋体" w:hAnsi="宋体"/>
                <w:color w:val="000000" w:themeColor="text1"/>
                <w:szCs w:val="21"/>
                <w14:textFill>
                  <w14:solidFill>
                    <w14:schemeClr w14:val="tx1"/>
                  </w14:solidFill>
                </w14:textFill>
              </w:rPr>
            </w:pPr>
          </w:p>
        </w:tc>
        <w:tc>
          <w:tcPr>
            <w:tcW w:w="6158" w:type="dxa"/>
            <w:gridSpan w:val="5"/>
            <w:vAlign w:val="center"/>
          </w:tcPr>
          <w:p>
            <w:pPr>
              <w:widowControl/>
              <w:rPr>
                <w:sz w:val="18"/>
                <w:szCs w:val="18"/>
              </w:rPr>
            </w:pPr>
            <w:r>
              <w:rPr>
                <w:rFonts w:ascii="宋体" w:hAnsi="宋体"/>
                <w:szCs w:val="21"/>
              </w:rPr>
              <w:t>*</w:t>
            </w:r>
            <w:r>
              <w:rPr>
                <w:rFonts w:hint="eastAsia"/>
                <w:sz w:val="18"/>
                <w:szCs w:val="18"/>
              </w:rPr>
              <w:t>产品等级：（</w:t>
            </w:r>
            <w:r>
              <w:rPr>
                <w:rFonts w:hint="eastAsia" w:ascii="宋体" w:hAnsi="宋体"/>
                <w:szCs w:val="21"/>
              </w:rPr>
              <w:t>*</w:t>
            </w:r>
            <w:r>
              <w:rPr>
                <w:rFonts w:hint="eastAsia"/>
                <w:sz w:val="18"/>
                <w:szCs w:val="18"/>
              </w:rPr>
              <w:t xml:space="preserve">未勾选默认合格品）□优等品  </w:t>
            </w:r>
            <w:r>
              <w:rPr>
                <w:rFonts w:hint="eastAsia"/>
                <w:sz w:val="18"/>
                <w:szCs w:val="18"/>
              </w:rPr>
              <w:sym w:font="Wingdings 2" w:char="0052"/>
            </w:r>
            <w:r>
              <w:rPr>
                <w:rFonts w:hint="eastAsia"/>
                <w:sz w:val="18"/>
                <w:szCs w:val="18"/>
              </w:rPr>
              <w:t xml:space="preserve">合格品     </w:t>
            </w:r>
          </w:p>
        </w:tc>
        <w:tc>
          <w:tcPr>
            <w:tcW w:w="2272" w:type="dxa"/>
            <w:gridSpan w:val="3"/>
            <w:vMerge w:val="restart"/>
            <w:vAlign w:val="center"/>
          </w:tcPr>
          <w:p>
            <w:pPr>
              <w:spacing w:line="240" w:lineRule="exact"/>
              <w:jc w:val="left"/>
              <w:rPr>
                <w:sz w:val="18"/>
                <w:szCs w:val="18"/>
              </w:rPr>
            </w:pPr>
            <w:r>
              <w:rPr>
                <w:rFonts w:hint="eastAsia"/>
                <w:sz w:val="18"/>
                <w:szCs w:val="18"/>
              </w:rPr>
              <w:sym w:font="Wingdings 2" w:char="00A3"/>
            </w:r>
            <w:r>
              <w:rPr>
                <w:rFonts w:hint="eastAsia"/>
                <w:sz w:val="18"/>
                <w:szCs w:val="18"/>
              </w:rPr>
              <w:t>报告附图片</w:t>
            </w:r>
          </w:p>
          <w:p>
            <w:pPr>
              <w:spacing w:line="240" w:lineRule="exact"/>
              <w:jc w:val="left"/>
              <w:rPr>
                <w:sz w:val="18"/>
                <w:szCs w:val="18"/>
              </w:rPr>
            </w:pPr>
            <w:r>
              <w:rPr>
                <w:rFonts w:hint="eastAsia"/>
                <w:sz w:val="18"/>
                <w:szCs w:val="18"/>
              </w:rPr>
              <w:sym w:font="Wingdings 2" w:char="00A3"/>
            </w:r>
            <w:r>
              <w:rPr>
                <w:rFonts w:hint="eastAsia"/>
                <w:sz w:val="18"/>
                <w:szCs w:val="18"/>
              </w:rPr>
              <w:t>电子章报告</w:t>
            </w:r>
          </w:p>
          <w:p>
            <w:pPr>
              <w:widowControl/>
              <w:rPr>
                <w:color w:val="000000" w:themeColor="text1"/>
                <w:sz w:val="18"/>
                <w:szCs w:val="18"/>
                <w14:textFill>
                  <w14:solidFill>
                    <w14:schemeClr w14:val="tx1"/>
                  </w14:solidFill>
                </w14:textFill>
              </w:rPr>
            </w:pPr>
            <w:r>
              <w:rPr>
                <w:rFonts w:hint="eastAsia"/>
                <w:sz w:val="18"/>
                <w:szCs w:val="18"/>
              </w:rPr>
              <w:sym w:font="Wingdings 2" w:char="00A3"/>
            </w:r>
            <w:r>
              <w:rPr>
                <w:rFonts w:hint="eastAsia"/>
                <w:sz w:val="18"/>
                <w:szCs w:val="18"/>
              </w:rPr>
              <w:t>纸板报告份数：</w:t>
            </w:r>
            <w:r>
              <w:rPr>
                <w:rFonts w:hint="eastAsia"/>
                <w:sz w:val="18"/>
                <w:szCs w:val="18"/>
                <w:u w:val="single"/>
              </w:rPr>
              <w:t xml:space="preserve">   </w:t>
            </w:r>
          </w:p>
        </w:tc>
        <w:tc>
          <w:tcPr>
            <w:tcW w:w="1984" w:type="dxa"/>
            <w:vMerge w:val="restart"/>
            <w:vAlign w:val="center"/>
          </w:tcPr>
          <w:p>
            <w:pPr>
              <w:spacing w:line="240" w:lineRule="exact"/>
              <w:rPr>
                <w:rFonts w:ascii="宋体" w:hAnsi="宋体"/>
                <w:sz w:val="18"/>
                <w:szCs w:val="18"/>
              </w:rPr>
            </w:pPr>
            <w:r>
              <w:rPr>
                <w:rFonts w:hint="eastAsia" w:ascii="宋体" w:hAnsi="宋体"/>
                <w:szCs w:val="21"/>
              </w:rPr>
              <w:t>*</w:t>
            </w:r>
            <w:r>
              <w:rPr>
                <w:rFonts w:hint="eastAsia" w:ascii="宋体" w:hAnsi="宋体"/>
                <w:sz w:val="18"/>
                <w:szCs w:val="18"/>
              </w:rPr>
              <w:t>检毕样品处理方式：</w:t>
            </w:r>
          </w:p>
          <w:p>
            <w:pPr>
              <w:spacing w:line="240" w:lineRule="exact"/>
              <w:rPr>
                <w:rFonts w:ascii="宋体" w:hAnsi="宋体"/>
                <w:sz w:val="18"/>
                <w:szCs w:val="18"/>
              </w:rPr>
            </w:pPr>
            <w:r>
              <w:rPr>
                <w:rFonts w:ascii="宋体" w:hAnsi="宋体"/>
                <w:sz w:val="18"/>
                <w:szCs w:val="18"/>
              </w:rPr>
              <w:t>□</w:t>
            </w:r>
            <w:r>
              <w:rPr>
                <w:rFonts w:hint="eastAsia" w:ascii="宋体" w:hAnsi="宋体"/>
                <w:sz w:val="18"/>
                <w:szCs w:val="18"/>
              </w:rPr>
              <w:t>委托方自取</w:t>
            </w:r>
          </w:p>
          <w:p>
            <w:pPr>
              <w:spacing w:line="240" w:lineRule="exact"/>
              <w:rPr>
                <w:rFonts w:ascii="宋体" w:hAnsi="宋体"/>
                <w:sz w:val="18"/>
                <w:szCs w:val="18"/>
              </w:rPr>
            </w:pPr>
            <w:r>
              <w:rPr>
                <w:rFonts w:ascii="宋体" w:hAnsi="宋体"/>
                <w:sz w:val="18"/>
                <w:szCs w:val="18"/>
              </w:rPr>
              <w:t>□</w:t>
            </w:r>
            <w:r>
              <w:rPr>
                <w:rFonts w:hint="eastAsia" w:ascii="黑体" w:eastAsia="黑体" w:hAnsiTheme="majorEastAsia"/>
                <w:color w:val="000000" w:themeColor="text1"/>
                <w:sz w:val="18"/>
                <w:szCs w:val="18"/>
                <w14:textFill>
                  <w14:solidFill>
                    <w14:schemeClr w14:val="tx1"/>
                  </w14:solidFill>
                </w14:textFill>
              </w:rPr>
              <w:t>本</w:t>
            </w:r>
            <w:r>
              <w:rPr>
                <w:rFonts w:ascii="黑体" w:eastAsia="黑体" w:hAnsiTheme="majorEastAsia"/>
                <w:color w:val="000000" w:themeColor="text1"/>
                <w:sz w:val="18"/>
                <w:szCs w:val="18"/>
                <w14:textFill>
                  <w14:solidFill>
                    <w14:schemeClr w14:val="tx1"/>
                  </w14:solidFill>
                </w14:textFill>
              </w:rPr>
              <w:t>院代寄，运费</w:t>
            </w:r>
            <w:r>
              <w:rPr>
                <w:rFonts w:hint="eastAsia" w:ascii="黑体" w:eastAsia="黑体" w:hAnsiTheme="majorEastAsia"/>
                <w:color w:val="000000" w:themeColor="text1"/>
                <w:sz w:val="18"/>
                <w:szCs w:val="18"/>
                <w14:textFill>
                  <w14:solidFill>
                    <w14:schemeClr w14:val="tx1"/>
                  </w14:solidFill>
                </w14:textFill>
              </w:rPr>
              <w:t>到付</w:t>
            </w:r>
          </w:p>
          <w:p>
            <w:pPr>
              <w:widowControl/>
              <w:rPr>
                <w:color w:val="000000" w:themeColor="text1"/>
                <w:sz w:val="18"/>
                <w:szCs w:val="18"/>
                <w14:textFill>
                  <w14:solidFill>
                    <w14:schemeClr w14:val="tx1"/>
                  </w14:solidFill>
                </w14:textFill>
              </w:rPr>
            </w:pPr>
            <w:r>
              <w:rPr>
                <w:rFonts w:ascii="宋体" w:hAnsi="宋体"/>
                <w:sz w:val="18"/>
                <w:szCs w:val="18"/>
              </w:rPr>
              <w:sym w:font="Wingdings 2" w:char="00A3"/>
            </w:r>
            <w:r>
              <w:rPr>
                <w:rFonts w:hint="eastAsia" w:ascii="宋体" w:hAnsi="宋体"/>
                <w:sz w:val="18"/>
                <w:szCs w:val="18"/>
              </w:rPr>
              <w:t>委托本院进行销毁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785" w:type="dxa"/>
            <w:gridSpan w:val="2"/>
            <w:vMerge w:val="continue"/>
            <w:vAlign w:val="center"/>
          </w:tcPr>
          <w:p>
            <w:pPr>
              <w:pStyle w:val="2"/>
              <w:rPr>
                <w:rFonts w:ascii="宋体" w:hAnsi="宋体"/>
                <w:color w:val="000000" w:themeColor="text1"/>
                <w:szCs w:val="21"/>
                <w14:textFill>
                  <w14:solidFill>
                    <w14:schemeClr w14:val="tx1"/>
                  </w14:solidFill>
                </w14:textFill>
              </w:rPr>
            </w:pPr>
          </w:p>
        </w:tc>
        <w:tc>
          <w:tcPr>
            <w:tcW w:w="6158" w:type="dxa"/>
            <w:gridSpan w:val="5"/>
            <w:vAlign w:val="center"/>
          </w:tcPr>
          <w:p>
            <w:pPr>
              <w:spacing w:line="240" w:lineRule="exact"/>
              <w:rPr>
                <w:rFonts w:ascii="宋体" w:hAnsi="宋体"/>
                <w:sz w:val="18"/>
                <w:szCs w:val="18"/>
              </w:rPr>
            </w:pPr>
            <w:r>
              <w:rPr>
                <w:rFonts w:ascii="宋体" w:hAnsi="宋体"/>
                <w:szCs w:val="21"/>
              </w:rPr>
              <w:t>*</w:t>
            </w:r>
            <w:r>
              <w:rPr>
                <w:rFonts w:hint="eastAsia"/>
                <w:sz w:val="18"/>
                <w:szCs w:val="18"/>
              </w:rPr>
              <w:t xml:space="preserve">来样状态□原材料 </w:t>
            </w:r>
            <w:r>
              <w:rPr>
                <w:rFonts w:hint="eastAsia" w:ascii="宋体" w:hAnsi="宋体"/>
                <w:sz w:val="18"/>
                <w:szCs w:val="18"/>
              </w:rPr>
              <w:t xml:space="preserve"> </w:t>
            </w:r>
            <w:r>
              <w:rPr>
                <w:rFonts w:hint="eastAsia"/>
                <w:sz w:val="18"/>
                <w:szCs w:val="18"/>
              </w:rPr>
              <w:t>□</w:t>
            </w:r>
            <w:r>
              <w:rPr>
                <w:rFonts w:hint="eastAsia" w:ascii="宋体" w:hAnsi="宋体"/>
                <w:sz w:val="18"/>
                <w:szCs w:val="18"/>
              </w:rPr>
              <w:t xml:space="preserve">完好（成品）  </w:t>
            </w:r>
            <w:r>
              <w:rPr>
                <w:rFonts w:hint="eastAsia"/>
                <w:sz w:val="18"/>
                <w:szCs w:val="18"/>
              </w:rPr>
              <w:t>原料成分/材质</w:t>
            </w:r>
            <w:r>
              <w:rPr>
                <w:rFonts w:hint="eastAsia"/>
                <w:sz w:val="18"/>
                <w:szCs w:val="18"/>
                <w:u w:val="single"/>
              </w:rPr>
              <w:t xml:space="preserve">               </w:t>
            </w:r>
          </w:p>
        </w:tc>
        <w:tc>
          <w:tcPr>
            <w:tcW w:w="2272" w:type="dxa"/>
            <w:gridSpan w:val="3"/>
            <w:vMerge w:val="continue"/>
            <w:vAlign w:val="center"/>
          </w:tcPr>
          <w:p>
            <w:pPr>
              <w:spacing w:line="240" w:lineRule="exact"/>
              <w:rPr>
                <w:rFonts w:ascii="宋体" w:hAnsi="宋体"/>
                <w:color w:val="000000" w:themeColor="text1"/>
                <w:sz w:val="18"/>
                <w:szCs w:val="18"/>
                <w14:textFill>
                  <w14:solidFill>
                    <w14:schemeClr w14:val="tx1"/>
                  </w14:solidFill>
                </w14:textFill>
              </w:rPr>
            </w:pPr>
          </w:p>
        </w:tc>
        <w:tc>
          <w:tcPr>
            <w:tcW w:w="1984" w:type="dxa"/>
            <w:vMerge w:val="continue"/>
            <w:vAlign w:val="center"/>
          </w:tcPr>
          <w:p>
            <w:pPr>
              <w:spacing w:line="240" w:lineRule="exact"/>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2269" w:type="dxa"/>
            <w:gridSpan w:val="4"/>
            <w:vMerge w:val="restart"/>
            <w:vAlign w:val="center"/>
          </w:tcPr>
          <w:p>
            <w:pPr>
              <w:spacing w:line="216" w:lineRule="auto"/>
              <w:jc w:val="center"/>
              <w:rPr>
                <w:color w:val="000000" w:themeColor="text1"/>
                <w:sz w:val="18"/>
                <w:szCs w:val="18"/>
                <w14:textFill>
                  <w14:solidFill>
                    <w14:schemeClr w14:val="tx1"/>
                  </w14:solidFill>
                </w14:textFill>
              </w:rPr>
            </w:pPr>
            <w:r>
              <w:rPr>
                <w:rFonts w:ascii="宋体" w:hAnsi="宋体"/>
                <w:szCs w:val="21"/>
              </w:rPr>
              <w:t>*</w:t>
            </w:r>
            <w:r>
              <w:rPr>
                <w:rFonts w:hint="eastAsia"/>
                <w:color w:val="000000" w:themeColor="text1"/>
                <w:sz w:val="18"/>
                <w:szCs w:val="18"/>
                <w14:textFill>
                  <w14:solidFill>
                    <w14:schemeClr w14:val="tx1"/>
                  </w14:solidFill>
                </w14:textFill>
              </w:rPr>
              <w:t>检测依据及判定依据</w:t>
            </w:r>
          </w:p>
        </w:tc>
        <w:tc>
          <w:tcPr>
            <w:tcW w:w="8930" w:type="dxa"/>
            <w:gridSpan w:val="7"/>
            <w:vAlign w:val="center"/>
          </w:tcPr>
          <w:p>
            <w:pPr>
              <w:spacing w:line="216" w:lineRule="auto"/>
              <w:jc w:val="left"/>
              <w:rPr>
                <w:rFonts w:ascii="宋体" w:hAnsi="宋体"/>
                <w:color w:val="000000" w:themeColor="text1"/>
                <w:sz w:val="18"/>
                <w:szCs w:val="18"/>
                <w14:textFill>
                  <w14:solidFill>
                    <w14:schemeClr w14:val="tx1"/>
                  </w14:solidFill>
                </w14:textFill>
              </w:rPr>
            </w:pPr>
            <w:r>
              <w:rPr>
                <w:rFonts w:hint="eastAsia"/>
                <w:sz w:val="18"/>
                <w:szCs w:val="18"/>
              </w:rPr>
              <w:sym w:font="Wingdings 2" w:char="00A3"/>
            </w:r>
            <w:r>
              <w:rPr>
                <w:rFonts w:hint="eastAsia"/>
                <w:sz w:val="18"/>
                <w:szCs w:val="18"/>
              </w:rPr>
              <w:t>产品执行标准：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2269" w:type="dxa"/>
            <w:gridSpan w:val="4"/>
            <w:vMerge w:val="continue"/>
            <w:vAlign w:val="center"/>
          </w:tcPr>
          <w:p>
            <w:pPr>
              <w:spacing w:line="216" w:lineRule="auto"/>
              <w:jc w:val="center"/>
              <w:rPr>
                <w:rFonts w:ascii="宋体" w:hAnsi="宋体"/>
                <w:color w:val="000000" w:themeColor="text1"/>
                <w:szCs w:val="21"/>
                <w14:textFill>
                  <w14:solidFill>
                    <w14:schemeClr w14:val="tx1"/>
                  </w14:solidFill>
                </w14:textFill>
              </w:rPr>
            </w:pPr>
          </w:p>
        </w:tc>
        <w:tc>
          <w:tcPr>
            <w:tcW w:w="8930" w:type="dxa"/>
            <w:gridSpan w:val="7"/>
            <w:vAlign w:val="center"/>
          </w:tcPr>
          <w:p>
            <w:pPr>
              <w:spacing w:line="216" w:lineRule="auto"/>
              <w:jc w:val="left"/>
              <w:rPr>
                <w:rFonts w:ascii="宋体" w:hAnsi="宋体"/>
                <w:color w:val="000000" w:themeColor="text1"/>
                <w:sz w:val="18"/>
                <w:szCs w:val="18"/>
                <w14:textFill>
                  <w14:solidFill>
                    <w14:schemeClr w14:val="tx1"/>
                  </w14:solidFill>
                </w14:textFill>
              </w:rPr>
            </w:pPr>
            <w:r>
              <w:rPr>
                <w:rFonts w:hint="eastAsia"/>
                <w:sz w:val="18"/>
                <w:szCs w:val="18"/>
              </w:rPr>
              <w:sym w:font="Wingdings 2" w:char="00A3"/>
            </w:r>
            <w:r>
              <w:rPr>
                <w:rFonts w:hint="eastAsia"/>
                <w:sz w:val="18"/>
                <w:szCs w:val="18"/>
              </w:rPr>
              <w:t>见附件2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426" w:type="dxa"/>
            <w:vMerge w:val="restart"/>
            <w:tcBorders>
              <w:bottom w:val="single" w:color="auto" w:sz="4" w:space="0"/>
            </w:tcBorders>
            <w:vAlign w:val="center"/>
          </w:tcPr>
          <w:p>
            <w:pPr>
              <w:spacing w:line="216" w:lineRule="auto"/>
              <w:jc w:val="center"/>
              <w:rPr>
                <w:color w:val="FF0000"/>
                <w:sz w:val="18"/>
                <w:szCs w:val="18"/>
              </w:rPr>
            </w:pPr>
            <w:r>
              <w:rPr>
                <w:rFonts w:ascii="宋体" w:hAnsi="宋体"/>
                <w:szCs w:val="21"/>
              </w:rPr>
              <w:t>*</w:t>
            </w:r>
          </w:p>
          <w:p>
            <w:pPr>
              <w:spacing w:line="216" w:lineRule="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检测项目</w:t>
            </w:r>
          </w:p>
        </w:tc>
        <w:tc>
          <w:tcPr>
            <w:tcW w:w="709" w:type="dxa"/>
            <w:gridSpan w:val="2"/>
            <w:vMerge w:val="restart"/>
            <w:tcBorders>
              <w:bottom w:val="single" w:color="auto" w:sz="4" w:space="0"/>
            </w:tcBorders>
            <w:vAlign w:val="center"/>
          </w:tcPr>
          <w:p>
            <w:pPr>
              <w:spacing w:line="240" w:lineRule="exact"/>
              <w:jc w:val="center"/>
              <w:rPr>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鞋类</w:t>
            </w:r>
          </w:p>
        </w:tc>
        <w:tc>
          <w:tcPr>
            <w:tcW w:w="10064" w:type="dxa"/>
            <w:gridSpan w:val="8"/>
            <w:tcBorders>
              <w:bottom w:val="single" w:color="auto" w:sz="4" w:space="0"/>
            </w:tcBorders>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勾心标志 □勾心外观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尺寸/长度下限值 □勾心纵向刚度 □勾心硬度 □勾心抗疲劳性 □勾心弯曲性能 □勾心安装要求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Merge w:val="continue"/>
            <w:vAlign w:val="center"/>
          </w:tcPr>
          <w:p>
            <w:pPr>
              <w:spacing w:line="240" w:lineRule="exact"/>
              <w:jc w:val="center"/>
              <w:rPr>
                <w:b/>
                <w:color w:val="000000" w:themeColor="text1"/>
                <w:sz w:val="18"/>
                <w:szCs w:val="18"/>
                <w14:textFill>
                  <w14:solidFill>
                    <w14:schemeClr w14:val="tx1"/>
                  </w14:solidFill>
                </w14:textFill>
              </w:rPr>
            </w:pPr>
          </w:p>
        </w:tc>
        <w:tc>
          <w:tcPr>
            <w:tcW w:w="10064" w:type="dxa"/>
            <w:gridSpan w:val="8"/>
            <w:vAlign w:val="center"/>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□感观质量/外观质量 □标识/标志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剥离强度    □外底与外中底粘合强度  □鞋帮（带）拉出强度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帮带拔出力</w:t>
            </w:r>
          </w:p>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□外底耐磨性能     □耐折性能  □鞋跟结合力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衬里和内垫摩擦色牢度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外底</w:t>
            </w:r>
            <w:r>
              <w:rPr>
                <w:rFonts w:hint="eastAsia" w:ascii="宋体" w:hAnsi="宋体" w:cs="宋体"/>
                <w:color w:val="000000" w:themeColor="text1"/>
                <w:sz w:val="18"/>
                <w:szCs w:val="18"/>
                <w14:textFill>
                  <w14:solidFill>
                    <w14:schemeClr w14:val="tx1"/>
                  </w14:solidFill>
                </w14:textFill>
              </w:rPr>
              <w:t>硬度/</w:t>
            </w:r>
            <w:r>
              <w:rPr>
                <w:rFonts w:hint="eastAsia"/>
                <w:color w:val="000000" w:themeColor="text1"/>
                <w:sz w:val="18"/>
                <w:szCs w:val="18"/>
                <w14:textFill>
                  <w14:solidFill>
                    <w14:schemeClr w14:val="tx1"/>
                  </w14:solidFill>
                </w14:textFill>
              </w:rPr>
              <w:t xml:space="preserve">成型底鞋跟硬度  </w:t>
            </w:r>
            <w:r>
              <w:rPr>
                <w:rFonts w:hint="eastAsia"/>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硬度</w:t>
            </w:r>
            <w:r>
              <w:rPr>
                <w:rFonts w:hint="eastAsia"/>
                <w:color w:val="000000" w:themeColor="text1"/>
                <w:sz w:val="18"/>
                <w:szCs w:val="18"/>
                <w14:textFill>
                  <w14:solidFill>
                    <w14:schemeClr w14:val="tx1"/>
                  </w14:solidFill>
                </w14:textFill>
              </w:rPr>
              <w:t xml:space="preserve">       </w:t>
            </w:r>
          </w:p>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□跟面耐磨性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拉伸强度  □</w:t>
            </w:r>
            <w:r>
              <w:rPr>
                <w:rFonts w:hint="eastAsia" w:ascii="宋体" w:hAnsi="宋体" w:cs="宋体"/>
                <w:color w:val="000000" w:themeColor="text1"/>
                <w:sz w:val="18"/>
                <w:szCs w:val="18"/>
                <w14:textFill>
                  <w14:solidFill>
                    <w14:schemeClr w14:val="tx1"/>
                  </w14:solidFill>
                </w14:textFill>
              </w:rPr>
              <w:t>拉断伸长率</w:t>
            </w:r>
            <w:r>
              <w:rPr>
                <w:rFonts w:hint="eastAsia"/>
                <w:color w:val="000000" w:themeColor="text1"/>
                <w:sz w:val="18"/>
                <w:szCs w:val="18"/>
                <w14:textFill>
                  <w14:solidFill>
                    <w14:schemeClr w14:val="tx1"/>
                  </w14:solidFill>
                </w14:textFill>
              </w:rPr>
              <w:t xml:space="preserve">  □内底纤维板屈挠指数    □帮面材料低温屈挠性能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耐屈挠性能</w:t>
            </w:r>
          </w:p>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□外底防滑性能</w:t>
            </w:r>
            <w:r>
              <w:rPr>
                <w:rFonts w:hint="eastAsia" w:ascii="宋体" w:hAnsi="宋体" w:cs="宋体"/>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 xml:space="preserve">压缩变形  </w:t>
            </w:r>
            <w:r>
              <w:rPr>
                <w:rFonts w:hint="eastAsia"/>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磨耗量      </w:t>
            </w:r>
            <w:r>
              <w:rPr>
                <w:rFonts w:hint="eastAsia"/>
                <w:color w:val="000000" w:themeColor="text1"/>
                <w:sz w:val="18"/>
                <w:szCs w:val="18"/>
                <w14:textFill>
                  <w14:solidFill>
                    <w14:schemeClr w14:val="tx1"/>
                  </w14:solidFill>
                </w14:textFill>
              </w:rPr>
              <w:t xml:space="preserve">□耐黄变性能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底板厚度/底板厚度         </w:t>
            </w:r>
            <w:r>
              <w:rPr>
                <w:rFonts w:hint="eastAsia"/>
                <w:color w:val="000000" w:themeColor="text1"/>
                <w:sz w:val="18"/>
                <w:szCs w:val="18"/>
                <w14:textFill>
                  <w14:solidFill>
                    <w14:schemeClr w14:val="tx1"/>
                  </w14:solidFill>
                </w14:textFill>
              </w:rPr>
              <w:sym w:font="Wingdings 2" w:char="00A3"/>
            </w:r>
            <w:r>
              <w:rPr>
                <w:rFonts w:hint="eastAsia" w:ascii="宋体" w:hAnsi="宋体" w:cs="宋体"/>
                <w:color w:val="000000" w:themeColor="text1"/>
                <w:sz w:val="18"/>
                <w:szCs w:val="18"/>
                <w14:textFill>
                  <w14:solidFill>
                    <w14:schemeClr w14:val="tx1"/>
                  </w14:solidFill>
                </w14:textFill>
              </w:rPr>
              <w:t>视密度/密度</w:t>
            </w:r>
            <w:r>
              <w:rPr>
                <w:rFonts w:hint="eastAsia"/>
                <w:color w:val="000000" w:themeColor="text1"/>
                <w:sz w:val="18"/>
                <w:szCs w:val="1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Align w:val="center"/>
          </w:tcPr>
          <w:p>
            <w:pPr>
              <w:spacing w:line="240" w:lineRule="exact"/>
              <w:ind w:left="180" w:hanging="180" w:hangingChars="100"/>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箱包</w:t>
            </w:r>
          </w:p>
        </w:tc>
        <w:tc>
          <w:tcPr>
            <w:tcW w:w="10064" w:type="dxa"/>
            <w:gridSpan w:val="8"/>
            <w:vAlign w:val="center"/>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□外观质量     □标识/标志   □扣件耐用性能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拉链耐用度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箱（包）锁耐用性能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塑料插扣耐用性能 </w:t>
            </w:r>
          </w:p>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□振荡冲击性   □缝合强度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背带耐折性能  □摩擦色牢度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硬箱箱体耐静压性能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拉杆耐疲劳性能 </w:t>
            </w:r>
          </w:p>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□行走性能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跌落性能    □</w:t>
            </w:r>
            <w:r>
              <w:rPr>
                <w:rFonts w:hint="eastAsia" w:ascii="宋体" w:hAnsi="宋体" w:cs="宋体"/>
                <w:color w:val="000000" w:themeColor="text1"/>
                <w:sz w:val="18"/>
                <w:szCs w:val="18"/>
                <w14:textFill>
                  <w14:solidFill>
                    <w14:schemeClr w14:val="tx1"/>
                  </w14:solidFill>
                </w14:textFill>
              </w:rPr>
              <w:t>拉断伸长率</w:t>
            </w:r>
            <w:r>
              <w:rPr>
                <w:rFonts w:hint="eastAsia"/>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滚筒冲击性能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五金配件耐腐蚀度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旅行式拉杆书袋滑轮和拉杆</w:t>
            </w:r>
          </w:p>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□配件质量</w:t>
            </w:r>
            <w:r>
              <w:rPr>
                <w:rFonts w:hint="eastAsia" w:ascii="宋体" w:hAnsi="宋体" w:cs="宋体"/>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 □箱铝口硬度  口硬度</w:t>
            </w:r>
            <w:r>
              <w:rPr>
                <w:rFonts w:hint="eastAsia" w:ascii="宋体" w:hAnsi="宋体" w:cs="宋体"/>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负重</w:t>
            </w:r>
            <w:r>
              <w:rPr>
                <w:rFonts w:hint="eastAsia" w:ascii="宋体" w:hAnsi="宋体" w:cs="宋体"/>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背带类书袋的性能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塑料硬箱箱面耐落球冲击性能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Align w:val="center"/>
          </w:tcPr>
          <w:p>
            <w:pPr>
              <w:spacing w:line="240" w:lineRule="exact"/>
              <w:jc w:val="center"/>
              <w:rPr>
                <w:b/>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腰带</w:t>
            </w:r>
          </w:p>
        </w:tc>
        <w:tc>
          <w:tcPr>
            <w:tcW w:w="10064" w:type="dxa"/>
            <w:gridSpan w:val="8"/>
            <w:vAlign w:val="center"/>
          </w:tcPr>
          <w:p>
            <w:pPr>
              <w:spacing w:line="24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带体断裂力   □带孔撕裂力  □带齿咬合力    □带扣抗拉力   □带扣与带体结合力   □五金配件耐腐蚀度  </w:t>
            </w:r>
          </w:p>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耐腐蚀性     □漆膜硬度    □漆膜附着力    □带扣咬合力   □电镀层结合强度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Align w:val="center"/>
          </w:tcPr>
          <w:p>
            <w:pPr>
              <w:spacing w:line="240" w:lineRule="exact"/>
              <w:jc w:val="center"/>
              <w:rPr>
                <w:b/>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伞类</w:t>
            </w:r>
          </w:p>
        </w:tc>
        <w:tc>
          <w:tcPr>
            <w:tcW w:w="10064" w:type="dxa"/>
            <w:gridSpan w:val="8"/>
            <w:vAlign w:val="center"/>
          </w:tcPr>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通则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外观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标识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产品完整性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防雨性能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伞杆抗风强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无故障连续开关次数</w:t>
            </w:r>
          </w:p>
          <w:p>
            <w:pPr>
              <w:spacing w:line="24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缝制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伞面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规格尺寸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耐腐蚀度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染色牢度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伞面防紫外线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自开伞、自开自收伞下盘稳定性</w:t>
            </w:r>
          </w:p>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自开伞、自开自收伞的开、关伞力和压缩伞杆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伞骨（</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直骨伞伞骨弹力、</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伞骨抗风强力）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Align w:val="center"/>
          </w:tcPr>
          <w:p>
            <w:pPr>
              <w:spacing w:line="240" w:lineRule="exact"/>
              <w:jc w:val="center"/>
              <w:rPr>
                <w:b/>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皮革</w:t>
            </w:r>
          </w:p>
        </w:tc>
        <w:tc>
          <w:tcPr>
            <w:tcW w:w="10064" w:type="dxa"/>
            <w:gridSpan w:val="8"/>
            <w:vAlign w:val="center"/>
          </w:tcPr>
          <w:p>
            <w:pPr>
              <w:spacing w:line="240" w:lineRule="exact"/>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材质鉴定   □pH值和稀释差 □撕裂力    □撕裂强度 □抗张强度 □耐顶破强度 □规定负荷伸长率    □厚度</w:t>
            </w:r>
          </w:p>
          <w:p>
            <w:pPr>
              <w:spacing w:line="240" w:lineRule="exact"/>
              <w:ind w:left="180" w:hanging="180" w:hanging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□断裂伸长率 □涂层粘着牢度  □拉伸负荷  □撕裂负荷 □剥离负荷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抗粘连性   □耐折牢度（光面革）</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表面颜色牢度   </w:t>
            </w:r>
          </w:p>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□摩擦色牢度 □收缩温度      □碱性汗液  □耐光性   □耐寒性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耐揉搓性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耐磨性（光面革）  □耐黄变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709" w:type="dxa"/>
            <w:gridSpan w:val="2"/>
            <w:vAlign w:val="center"/>
          </w:tcPr>
          <w:p>
            <w:pPr>
              <w:spacing w:line="240" w:lineRule="exact"/>
              <w:jc w:val="center"/>
              <w:rPr>
                <w:b/>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化学</w:t>
            </w:r>
          </w:p>
        </w:tc>
        <w:tc>
          <w:tcPr>
            <w:tcW w:w="10064" w:type="dxa"/>
            <w:gridSpan w:val="8"/>
            <w:vAlign w:val="center"/>
          </w:tcPr>
          <w:p>
            <w:pPr>
              <w:spacing w:line="240" w:lineRule="exac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 xml:space="preserve">可分解芳香胺染料（偶氮）□甲醛 □异味 □重金属含量 □富马酸二甲酯 □六价铬含量 □邻苯二甲酸酯 □N-亚硝基胺   </w:t>
            </w: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可迁移元素最大限量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426" w:type="dxa"/>
            <w:vMerge w:val="continue"/>
            <w:vAlign w:val="center"/>
          </w:tcPr>
          <w:p>
            <w:pPr>
              <w:spacing w:line="216" w:lineRule="auto"/>
              <w:rPr>
                <w:color w:val="000000" w:themeColor="text1"/>
                <w:sz w:val="18"/>
                <w:szCs w:val="18"/>
                <w14:textFill>
                  <w14:solidFill>
                    <w14:schemeClr w14:val="tx1"/>
                  </w14:solidFill>
                </w14:textFill>
              </w:rPr>
            </w:pPr>
          </w:p>
        </w:tc>
        <w:tc>
          <w:tcPr>
            <w:tcW w:w="10773" w:type="dxa"/>
            <w:gridSpan w:val="10"/>
            <w:vAlign w:val="center"/>
          </w:tcPr>
          <w:p>
            <w:pPr>
              <w:spacing w:line="216" w:lineRule="auto"/>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sym w:font="Wingdings 2" w:char="00A3"/>
            </w:r>
            <w:r>
              <w:rPr>
                <w:rFonts w:hint="eastAsia"/>
                <w:color w:val="000000" w:themeColor="text1"/>
                <w:sz w:val="18"/>
                <w:szCs w:val="18"/>
                <w14:textFill>
                  <w14:solidFill>
                    <w14:schemeClr w14:val="tx1"/>
                  </w14:solidFill>
                </w14:textFill>
              </w:rPr>
              <w:t>其他检测项目及说明：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199" w:type="dxa"/>
            <w:gridSpan w:val="11"/>
            <w:vAlign w:val="center"/>
          </w:tcPr>
          <w:p>
            <w:pPr>
              <w:spacing w:line="216" w:lineRule="auto"/>
              <w:jc w:val="center"/>
              <w:rPr>
                <w:sz w:val="18"/>
                <w:szCs w:val="18"/>
              </w:rPr>
            </w:pPr>
            <w:r>
              <w:rPr>
                <w:rFonts w:hint="eastAsia"/>
                <w:b/>
                <w:color w:val="FF0000"/>
                <w:sz w:val="18"/>
                <w:szCs w:val="18"/>
              </w:rPr>
              <w:t>以上资料请确实清晰填写（</w:t>
            </w:r>
            <w:r>
              <w:rPr>
                <w:rFonts w:ascii="宋体" w:hAnsi="宋体"/>
                <w:color w:val="FF0000"/>
                <w:szCs w:val="21"/>
              </w:rPr>
              <w:t>*</w:t>
            </w:r>
            <w:r>
              <w:rPr>
                <w:rFonts w:hint="eastAsia"/>
                <w:b/>
                <w:color w:val="FF0000"/>
                <w:sz w:val="18"/>
                <w:szCs w:val="18"/>
              </w:rPr>
              <w:t>为必填项目），在检测报告签发后如需修改报告内容，将收取报告修改费。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199" w:type="dxa"/>
            <w:gridSpan w:val="11"/>
          </w:tcPr>
          <w:p>
            <w:pPr>
              <w:adjustRightInd w:val="0"/>
              <w:snapToGrid w:val="0"/>
              <w:spacing w:line="240" w:lineRule="exact"/>
              <w:rPr>
                <w:sz w:val="18"/>
                <w:szCs w:val="18"/>
              </w:rPr>
            </w:pPr>
            <w:r>
              <w:rPr>
                <w:rFonts w:ascii="宋体" w:hAnsi="宋体"/>
                <w:szCs w:val="21"/>
              </w:rPr>
              <w:t>*</w:t>
            </w:r>
            <w:r>
              <w:rPr>
                <w:rFonts w:hint="eastAsia"/>
                <w:sz w:val="18"/>
                <w:szCs w:val="18"/>
              </w:rPr>
              <w:t>报告版本：</w:t>
            </w:r>
            <w:r>
              <w:rPr>
                <w:rFonts w:hint="eastAsia"/>
                <w:sz w:val="18"/>
                <w:szCs w:val="18"/>
              </w:rPr>
              <w:sym w:font="Wingdings 2" w:char="00A3"/>
            </w:r>
            <w:r>
              <w:rPr>
                <w:rFonts w:hint="eastAsia"/>
                <w:sz w:val="18"/>
                <w:szCs w:val="18"/>
              </w:rPr>
              <w:t xml:space="preserve">出中文报告　□出英文报告（出具英文报告需提供相关产品英文信息，无指定则出中文报告） </w:t>
            </w:r>
            <w:r>
              <w:rPr>
                <w:rFonts w:hint="eastAsia"/>
                <w:sz w:val="18"/>
                <w:szCs w:val="18"/>
              </w:rPr>
              <w:sym w:font="Wingdings 2" w:char="00A3"/>
            </w:r>
            <w:r>
              <w:rPr>
                <w:rFonts w:hint="eastAsia"/>
                <w:sz w:val="18"/>
                <w:szCs w:val="18"/>
              </w:rPr>
              <w:t>仅出具检测数据</w:t>
            </w:r>
          </w:p>
          <w:p>
            <w:pPr>
              <w:adjustRightInd w:val="0"/>
              <w:snapToGrid w:val="0"/>
              <w:spacing w:line="240" w:lineRule="exact"/>
              <w:rPr>
                <w:sz w:val="18"/>
                <w:szCs w:val="18"/>
              </w:rPr>
            </w:pPr>
            <w:r>
              <w:rPr>
                <w:rFonts w:ascii="宋体" w:hAnsi="宋体"/>
                <w:szCs w:val="21"/>
              </w:rPr>
              <w:t>*</w:t>
            </w:r>
            <w:r>
              <w:rPr>
                <w:rFonts w:hint="eastAsia"/>
                <w:sz w:val="18"/>
                <w:szCs w:val="18"/>
              </w:rPr>
              <w:t>检测周期：</w:t>
            </w:r>
            <w:r>
              <w:rPr>
                <w:rFonts w:hint="eastAsia"/>
                <w:sz w:val="18"/>
                <w:szCs w:val="18"/>
              </w:rPr>
              <w:sym w:font="Wingdings 2" w:char="00A3"/>
            </w:r>
            <w:r>
              <w:rPr>
                <w:rFonts w:hint="eastAsia"/>
                <w:sz w:val="18"/>
                <w:szCs w:val="18"/>
              </w:rPr>
              <w:t>普通（4个工作日）  □加急（3个工作日）  □特急（2个工作日，仅适用于个别项目）</w:t>
            </w:r>
          </w:p>
          <w:p>
            <w:pPr>
              <w:adjustRightInd w:val="0"/>
              <w:snapToGrid w:val="0"/>
              <w:spacing w:line="280" w:lineRule="atLeast"/>
              <w:rPr>
                <w:sz w:val="18"/>
                <w:szCs w:val="18"/>
              </w:rPr>
            </w:pPr>
            <w:r>
              <w:rPr>
                <w:rFonts w:ascii="宋体" w:hAnsi="宋体"/>
                <w:szCs w:val="21"/>
              </w:rPr>
              <w:t>*</w:t>
            </w:r>
            <w:r>
              <w:rPr>
                <w:rFonts w:hint="eastAsia"/>
                <w:sz w:val="18"/>
                <w:szCs w:val="18"/>
              </w:rPr>
              <w:t>报告查询：是否同意我院向客户联系人手机发送的报告信息查询随机码并使用该码在我院网站查本协议书对应检测报告基本信息 □是□否</w:t>
            </w:r>
          </w:p>
          <w:p>
            <w:pPr>
              <w:adjustRightInd w:val="0"/>
              <w:snapToGrid w:val="0"/>
              <w:spacing w:line="280" w:lineRule="atLeast"/>
              <w:rPr>
                <w:sz w:val="18"/>
                <w:szCs w:val="18"/>
              </w:rPr>
            </w:pPr>
            <w:r>
              <w:rPr>
                <w:rFonts w:ascii="宋体" w:hAnsi="宋体"/>
                <w:szCs w:val="21"/>
              </w:rPr>
              <w:t>*</w:t>
            </w:r>
            <w:r>
              <w:rPr>
                <w:rFonts w:hint="eastAsia"/>
                <w:sz w:val="18"/>
                <w:szCs w:val="18"/>
              </w:rPr>
              <w:t>报告信息：□仅公开基本信息</w:t>
            </w:r>
            <w:r>
              <w:rPr>
                <w:sz w:val="18"/>
                <w:szCs w:val="18"/>
              </w:rPr>
              <w:t xml:space="preserve">  </w:t>
            </w:r>
            <w:r>
              <w:rPr>
                <w:rFonts w:hint="eastAsia"/>
                <w:sz w:val="18"/>
                <w:szCs w:val="18"/>
              </w:rPr>
              <w:sym w:font="Wingdings 2" w:char="0052"/>
            </w:r>
            <w:r>
              <w:rPr>
                <w:rFonts w:hint="eastAsia"/>
                <w:sz w:val="18"/>
                <w:szCs w:val="18"/>
              </w:rPr>
              <w:t>公开完整报告及结论</w:t>
            </w:r>
            <w:r>
              <w:rPr>
                <w:sz w:val="18"/>
                <w:szCs w:val="18"/>
              </w:rPr>
              <w:t xml:space="preserve">  </w:t>
            </w:r>
            <w:r>
              <w:rPr>
                <w:rFonts w:hint="eastAsia"/>
                <w:sz w:val="18"/>
                <w:szCs w:val="18"/>
              </w:rPr>
              <w:t>□不公开</w:t>
            </w:r>
          </w:p>
          <w:p>
            <w:pPr>
              <w:adjustRightInd w:val="0"/>
              <w:snapToGrid w:val="0"/>
              <w:spacing w:line="240" w:lineRule="exact"/>
              <w:rPr>
                <w:b/>
                <w:sz w:val="18"/>
                <w:szCs w:val="18"/>
              </w:rPr>
            </w:pPr>
            <w:r>
              <w:rPr>
                <w:rFonts w:ascii="宋体" w:hAnsi="宋体"/>
                <w:szCs w:val="21"/>
              </w:rPr>
              <w:t>*</w:t>
            </w:r>
            <w:r>
              <w:rPr>
                <w:rFonts w:hint="eastAsia"/>
                <w:sz w:val="18"/>
                <w:szCs w:val="18"/>
              </w:rPr>
              <w:t>领取方式：报告（</w:t>
            </w:r>
            <w:r>
              <w:rPr>
                <w:rFonts w:hint="eastAsia"/>
                <w:sz w:val="15"/>
                <w:szCs w:val="15"/>
              </w:rPr>
              <w:sym w:font="Wingdings 2" w:char="00A3"/>
            </w:r>
            <w:r>
              <w:rPr>
                <w:rFonts w:hint="eastAsia"/>
                <w:sz w:val="15"/>
                <w:szCs w:val="15"/>
              </w:rPr>
              <w:t xml:space="preserve">自取 </w:t>
            </w:r>
            <w:r>
              <w:rPr>
                <w:rFonts w:hint="eastAsia"/>
                <w:sz w:val="15"/>
                <w:szCs w:val="15"/>
              </w:rPr>
              <w:sym w:font="Wingdings 2" w:char="00A3"/>
            </w:r>
            <w:r>
              <w:rPr>
                <w:rFonts w:hint="eastAsia"/>
                <w:color w:val="000000" w:themeColor="text1"/>
                <w:sz w:val="15"/>
                <w:szCs w:val="15"/>
                <w14:textFill>
                  <w14:solidFill>
                    <w14:schemeClr w14:val="tx1"/>
                  </w14:solidFill>
                </w14:textFill>
              </w:rPr>
              <w:t>到付</w:t>
            </w:r>
            <w:r>
              <w:rPr>
                <w:color w:val="000000" w:themeColor="text1"/>
                <w:sz w:val="15"/>
                <w:szCs w:val="15"/>
                <w14:textFill>
                  <w14:solidFill>
                    <w14:schemeClr w14:val="tx1"/>
                  </w14:solidFill>
                </w14:textFill>
              </w:rPr>
              <w:t xml:space="preserve">: </w:t>
            </w:r>
            <w:r>
              <w:rPr>
                <w:rFonts w:hint="eastAsia"/>
                <w:sz w:val="15"/>
                <w:szCs w:val="15"/>
              </w:rPr>
              <w:sym w:font="Wingdings 2" w:char="00A3"/>
            </w:r>
            <w:r>
              <w:rPr>
                <w:rFonts w:hint="eastAsia"/>
                <w:color w:val="000000" w:themeColor="text1"/>
                <w:sz w:val="15"/>
                <w:szCs w:val="15"/>
                <w14:textFill>
                  <w14:solidFill>
                    <w14:schemeClr w14:val="tx1"/>
                  </w14:solidFill>
                </w14:textFill>
              </w:rPr>
              <w:t xml:space="preserve">委托方 </w:t>
            </w:r>
            <w:r>
              <w:rPr>
                <w:rFonts w:hint="eastAsia"/>
                <w:sz w:val="15"/>
                <w:szCs w:val="15"/>
              </w:rPr>
              <w:sym w:font="Wingdings 2" w:char="00A3"/>
            </w:r>
            <w:r>
              <w:rPr>
                <w:rFonts w:hint="eastAsia"/>
                <w:color w:val="000000" w:themeColor="text1"/>
                <w:sz w:val="15"/>
                <w:szCs w:val="15"/>
                <w14:textFill>
                  <w14:solidFill>
                    <w14:schemeClr w14:val="tx1"/>
                  </w14:solidFill>
                </w14:textFill>
              </w:rPr>
              <w:t>生产方</w:t>
            </w:r>
            <w:r>
              <w:rPr>
                <w:rFonts w:hint="eastAsia"/>
                <w:sz w:val="18"/>
                <w:szCs w:val="18"/>
              </w:rPr>
              <w:t>） 发票[</w:t>
            </w:r>
            <w:r>
              <w:rPr>
                <w:rFonts w:hint="eastAsia"/>
                <w:sz w:val="15"/>
                <w:szCs w:val="15"/>
              </w:rPr>
              <w:sym w:font="Wingdings 2" w:char="00A3"/>
            </w:r>
            <w:r>
              <w:rPr>
                <w:rFonts w:hint="eastAsia"/>
                <w:color w:val="000000" w:themeColor="text1"/>
                <w:sz w:val="15"/>
                <w:szCs w:val="15"/>
                <w14:textFill>
                  <w14:solidFill>
                    <w14:schemeClr w14:val="tx1"/>
                  </w14:solidFill>
                </w14:textFill>
              </w:rPr>
              <w:t xml:space="preserve">普通发票 </w:t>
            </w:r>
            <w:r>
              <w:rPr>
                <w:rFonts w:hint="eastAsia"/>
                <w:sz w:val="15"/>
                <w:szCs w:val="15"/>
              </w:rPr>
              <w:sym w:font="Wingdings 2" w:char="00A3"/>
            </w:r>
            <w:r>
              <w:rPr>
                <w:rFonts w:hint="eastAsia"/>
                <w:color w:val="000000" w:themeColor="text1"/>
                <w:sz w:val="15"/>
                <w:szCs w:val="15"/>
                <w14:textFill>
                  <w14:solidFill>
                    <w14:schemeClr w14:val="tx1"/>
                  </w14:solidFill>
                </w14:textFill>
              </w:rPr>
              <w:t>增值税专用发票（需提供开票资料）</w:t>
            </w:r>
            <w:r>
              <w:rPr>
                <w:rFonts w:hint="eastAsia"/>
                <w:sz w:val="15"/>
                <w:szCs w:val="15"/>
              </w:rPr>
              <w:sym w:font="Wingdings 2" w:char="00A3"/>
            </w:r>
            <w:r>
              <w:rPr>
                <w:rFonts w:hint="eastAsia"/>
                <w:color w:val="000000" w:themeColor="text1"/>
                <w:sz w:val="15"/>
                <w:szCs w:val="15"/>
                <w14:textFill>
                  <w14:solidFill>
                    <w14:schemeClr w14:val="tx1"/>
                  </w14:solidFill>
                </w14:textFill>
              </w:rPr>
              <w:t xml:space="preserve">自取 </w:t>
            </w:r>
            <w:r>
              <w:rPr>
                <w:rFonts w:hint="eastAsia"/>
                <w:sz w:val="15"/>
                <w:szCs w:val="15"/>
              </w:rPr>
              <w:sym w:font="Wingdings 2" w:char="00A3"/>
            </w:r>
            <w:r>
              <w:rPr>
                <w:rFonts w:hint="eastAsia"/>
                <w:color w:val="000000" w:themeColor="text1"/>
                <w:sz w:val="15"/>
                <w:szCs w:val="15"/>
                <w14:textFill>
                  <w14:solidFill>
                    <w14:schemeClr w14:val="tx1"/>
                  </w14:solidFill>
                </w14:textFill>
              </w:rPr>
              <w:t>到付</w:t>
            </w:r>
            <w:r>
              <w:rPr>
                <w:color w:val="000000" w:themeColor="text1"/>
                <w:sz w:val="15"/>
                <w:szCs w:val="15"/>
                <w14:textFill>
                  <w14:solidFill>
                    <w14:schemeClr w14:val="tx1"/>
                  </w14:solidFill>
                </w14:textFill>
              </w:rPr>
              <w:t xml:space="preserve">: </w:t>
            </w:r>
            <w:r>
              <w:rPr>
                <w:rFonts w:hint="eastAsia"/>
                <w:sz w:val="15"/>
                <w:szCs w:val="15"/>
              </w:rPr>
              <w:sym w:font="Wingdings 2" w:char="00A3"/>
            </w:r>
            <w:r>
              <w:rPr>
                <w:rFonts w:hint="eastAsia"/>
                <w:color w:val="000000" w:themeColor="text1"/>
                <w:sz w:val="15"/>
                <w:szCs w:val="15"/>
                <w14:textFill>
                  <w14:solidFill>
                    <w14:schemeClr w14:val="tx1"/>
                  </w14:solidFill>
                </w14:textFill>
              </w:rPr>
              <w:t xml:space="preserve">委托方 </w:t>
            </w:r>
            <w:r>
              <w:rPr>
                <w:rFonts w:hint="eastAsia"/>
                <w:sz w:val="15"/>
                <w:szCs w:val="15"/>
              </w:rPr>
              <w:sym w:font="Wingdings 2" w:char="00A3"/>
            </w:r>
            <w:r>
              <w:rPr>
                <w:rFonts w:hint="eastAsia"/>
                <w:color w:val="000000" w:themeColor="text1"/>
                <w:sz w:val="15"/>
                <w:szCs w:val="15"/>
                <w14:textFill>
                  <w14:solidFill>
                    <w14:schemeClr w14:val="tx1"/>
                  </w14:solidFill>
                </w14:textFill>
              </w:rPr>
              <w:t>生产方</w:t>
            </w:r>
            <w:r>
              <w:rPr>
                <w:rFonts w:hint="eastAsia"/>
                <w:b/>
                <w:sz w:val="18"/>
                <w:szCs w:val="18"/>
              </w:rPr>
              <w:t>]</w:t>
            </w:r>
          </w:p>
          <w:p>
            <w:pPr>
              <w:adjustRightInd w:val="0"/>
              <w:snapToGrid w:val="0"/>
              <w:spacing w:line="240" w:lineRule="exact"/>
              <w:rPr>
                <w:sz w:val="18"/>
                <w:szCs w:val="18"/>
                <w:u w:val="single"/>
              </w:rPr>
            </w:pPr>
            <w:r>
              <w:rPr>
                <w:rFonts w:ascii="宋体" w:hAnsi="宋体"/>
                <w:szCs w:val="21"/>
              </w:rPr>
              <w:t>*</w:t>
            </w:r>
            <w:r>
              <w:rPr>
                <w:rFonts w:hint="eastAsia"/>
                <w:sz w:val="18"/>
                <w:szCs w:val="18"/>
              </w:rPr>
              <w:t xml:space="preserve">收件信息：□同委托方  □同生产方 </w:t>
            </w:r>
            <w:r>
              <w:rPr>
                <w:sz w:val="18"/>
                <w:szCs w:val="18"/>
              </w:rPr>
              <w:t xml:space="preserve"> </w:t>
            </w:r>
            <w:r>
              <w:rPr>
                <w:rFonts w:hint="eastAsia"/>
                <w:sz w:val="18"/>
                <w:szCs w:val="18"/>
              </w:rPr>
              <w:t xml:space="preserve"> □其他</w:t>
            </w:r>
            <w:r>
              <w:rPr>
                <w:rFonts w:hint="eastAsia"/>
                <w:sz w:val="18"/>
                <w:szCs w:val="18"/>
                <w:u w:val="single"/>
              </w:rPr>
              <w:t xml:space="preserve"> </w:t>
            </w:r>
            <w:r>
              <w:rPr>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924" w:type="dxa"/>
            <w:gridSpan w:val="6"/>
            <w:vMerge w:val="restart"/>
            <w:vAlign w:val="center"/>
          </w:tcPr>
          <w:p>
            <w:pPr>
              <w:pStyle w:val="4"/>
              <w:pBdr>
                <w:bottom w:val="none" w:color="auto" w:sz="0" w:space="0"/>
              </w:pBdr>
              <w:adjustRightInd w:val="0"/>
              <w:spacing w:line="240" w:lineRule="atLeast"/>
              <w:ind w:firstLine="360" w:firstLineChars="200"/>
              <w:jc w:val="both"/>
            </w:pPr>
            <w:r>
              <w:rPr>
                <w:rFonts w:hint="eastAsia"/>
              </w:rPr>
              <w:t>我方确认本协议书上所填信息准确、真实，对我方所提供的一切资料、样品信息及其生产方等相关信息的真实性负责，同意按此协议内容及</w:t>
            </w:r>
            <w:r>
              <w:t>GQI</w:t>
            </w:r>
            <w:r>
              <w:rPr>
                <w:rFonts w:hint="eastAsia"/>
              </w:rPr>
              <w:t>委托检测服务条款要求进行检测，并按时缴纳检测费及提供必要的合作。</w:t>
            </w:r>
          </w:p>
          <w:p>
            <w:pPr>
              <w:pStyle w:val="4"/>
              <w:pBdr>
                <w:bottom w:val="none" w:color="auto" w:sz="0" w:space="0"/>
              </w:pBdr>
              <w:adjustRightInd w:val="0"/>
              <w:spacing w:line="240" w:lineRule="atLeast"/>
              <w:jc w:val="both"/>
              <w:rPr>
                <w:rFonts w:ascii="宋体" w:hAnsi="宋体"/>
                <w:szCs w:val="21"/>
              </w:rPr>
            </w:pPr>
          </w:p>
          <w:p>
            <w:pPr>
              <w:pStyle w:val="4"/>
              <w:pBdr>
                <w:bottom w:val="none" w:color="auto" w:sz="0" w:space="0"/>
              </w:pBdr>
              <w:adjustRightInd w:val="0"/>
              <w:spacing w:line="240" w:lineRule="atLeast"/>
              <w:jc w:val="both"/>
            </w:pPr>
            <w:r>
              <w:rPr>
                <w:rFonts w:ascii="宋体" w:hAnsi="宋体"/>
                <w:szCs w:val="21"/>
              </w:rPr>
              <w:t>*</w:t>
            </w:r>
            <w:r>
              <w:rPr>
                <w:rFonts w:hint="eastAsia"/>
              </w:rPr>
              <w:t>委托方授权代表（委托人）</w:t>
            </w:r>
            <w:r>
              <w:rPr>
                <w:rFonts w:hint="eastAsia"/>
                <w:b/>
                <w:bCs/>
                <w:sz w:val="24"/>
                <w:szCs w:val="24"/>
              </w:rPr>
              <w:t>正楷签名：</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tc>
        <w:tc>
          <w:tcPr>
            <w:tcW w:w="4275" w:type="dxa"/>
            <w:gridSpan w:val="5"/>
          </w:tcPr>
          <w:p>
            <w:pPr>
              <w:rPr>
                <w:rFonts w:hint="eastAsia" w:eastAsia="宋体"/>
                <w:sz w:val="18"/>
                <w:szCs w:val="18"/>
                <w:lang w:val="en-US" w:eastAsia="zh-CN"/>
              </w:rPr>
            </w:pPr>
            <w:r>
              <w:rPr>
                <w:rFonts w:hint="eastAsia"/>
                <w:sz w:val="18"/>
                <w:szCs w:val="18"/>
              </w:rPr>
              <w:t>检测费用：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924" w:type="dxa"/>
            <w:gridSpan w:val="6"/>
            <w:vMerge w:val="continue"/>
            <w:vAlign w:val="center"/>
          </w:tcPr>
          <w:p>
            <w:pPr>
              <w:pStyle w:val="4"/>
              <w:pBdr>
                <w:bottom w:val="none" w:color="auto" w:sz="0" w:space="0"/>
              </w:pBdr>
              <w:adjustRightInd w:val="0"/>
              <w:spacing w:line="240" w:lineRule="atLeast"/>
              <w:jc w:val="both"/>
              <w:rPr>
                <w:color w:val="000000" w:themeColor="text1"/>
                <w14:textFill>
                  <w14:solidFill>
                    <w14:schemeClr w14:val="tx1"/>
                  </w14:solidFill>
                </w14:textFill>
              </w:rPr>
            </w:pPr>
          </w:p>
        </w:tc>
        <w:tc>
          <w:tcPr>
            <w:tcW w:w="4275" w:type="dxa"/>
            <w:gridSpan w:val="5"/>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报告预发日期： </w:t>
            </w:r>
            <w:r>
              <w:rPr>
                <w:color w:val="000000" w:themeColor="text1"/>
                <w:sz w:val="18"/>
                <w:szCs w:val="18"/>
                <w14:textFill>
                  <w14:solidFill>
                    <w14:schemeClr w14:val="tx1"/>
                  </w14:solidFill>
                </w14:textFill>
              </w:rPr>
              <w:t xml:space="preserve">  </w:t>
            </w:r>
            <w:r>
              <w:rPr>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年 </w:t>
            </w:r>
            <w:r>
              <w:rPr>
                <w:rFonts w:hint="eastAsia"/>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月 </w:t>
            </w:r>
            <w:r>
              <w:rPr>
                <w:rFonts w:hint="eastAsia"/>
                <w:color w:val="000000" w:themeColor="text1"/>
                <w:sz w:val="18"/>
                <w:szCs w:val="18"/>
                <w:u w:val="single"/>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6924" w:type="dxa"/>
            <w:gridSpan w:val="6"/>
            <w:vMerge w:val="continue"/>
            <w:vAlign w:val="center"/>
          </w:tcPr>
          <w:p>
            <w:pPr>
              <w:pStyle w:val="4"/>
              <w:pBdr>
                <w:bottom w:val="none" w:color="auto" w:sz="0" w:space="0"/>
              </w:pBdr>
              <w:adjustRightInd w:val="0"/>
              <w:spacing w:line="240" w:lineRule="atLeast"/>
              <w:jc w:val="both"/>
              <w:rPr>
                <w:color w:val="000000" w:themeColor="text1"/>
                <w14:textFill>
                  <w14:solidFill>
                    <w14:schemeClr w14:val="tx1"/>
                  </w14:solidFill>
                </w14:textFill>
              </w:rPr>
            </w:pPr>
          </w:p>
        </w:tc>
        <w:tc>
          <w:tcPr>
            <w:tcW w:w="4275" w:type="dxa"/>
            <w:gridSpan w:val="5"/>
          </w:tcPr>
          <w:p>
            <w:pPr>
              <w:pStyle w:val="4"/>
              <w:pBdr>
                <w:bottom w:val="none" w:color="auto" w:sz="0" w:space="0"/>
              </w:pBdr>
              <w:adjustRightInd w:val="0"/>
              <w:spacing w:line="240" w:lineRule="atLeast"/>
              <w:jc w:val="both"/>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业务受理员核对样品和协议内容后签名、日期：</w:t>
            </w:r>
            <w:r>
              <w:rPr>
                <w:color w:val="000000" w:themeColor="text1"/>
                <w:sz w:val="15"/>
                <w:szCs w:val="15"/>
                <w14:textFill>
                  <w14:solidFill>
                    <w14:schemeClr w14:val="tx1"/>
                  </w14:solidFill>
                </w14:textFill>
              </w:rPr>
              <w:t>_____________</w:t>
            </w:r>
          </w:p>
          <w:p>
            <w:pPr>
              <w:pStyle w:val="4"/>
              <w:pBdr>
                <w:bottom w:val="none" w:color="auto" w:sz="0" w:space="0"/>
              </w:pBdr>
              <w:adjustRightInd w:val="0"/>
              <w:spacing w:line="240" w:lineRule="atLeast"/>
              <w:jc w:val="both"/>
              <w:rPr>
                <w:color w:val="000000" w:themeColor="text1"/>
                <w:sz w:val="15"/>
                <w:szCs w:val="15"/>
                <w14:textFill>
                  <w14:solidFill>
                    <w14:schemeClr w14:val="tx1"/>
                  </w14:solidFill>
                </w14:textFill>
              </w:rPr>
            </w:pPr>
          </w:p>
          <w:p>
            <w:pPr>
              <w:rPr>
                <w:color w:val="000000" w:themeColor="text1"/>
                <w:sz w:val="18"/>
                <w:szCs w:val="18"/>
                <w14:textFill>
                  <w14:solidFill>
                    <w14:schemeClr w14:val="tx1"/>
                  </w14:solidFill>
                </w14:textFill>
              </w:rPr>
            </w:pPr>
            <w:r>
              <w:rPr>
                <w:rFonts w:hint="eastAsia"/>
                <w:color w:val="000000" w:themeColor="text1"/>
                <w:sz w:val="15"/>
                <w:szCs w:val="15"/>
                <w14:textFill>
                  <w14:solidFill>
                    <w14:schemeClr w14:val="tx1"/>
                  </w14:solidFill>
                </w14:textFill>
              </w:rPr>
              <w:t>样品交仓库日期：</w:t>
            </w:r>
            <w:r>
              <w:rPr>
                <w:color w:val="000000" w:themeColor="text1"/>
                <w:sz w:val="15"/>
                <w:szCs w:val="15"/>
                <w14:textFill>
                  <w14:solidFill>
                    <w14:schemeClr w14:val="tx1"/>
                  </w14:solidFill>
                </w14:textFill>
              </w:rPr>
              <w:t xml:space="preserve">____________    </w:t>
            </w:r>
            <w:r>
              <w:rPr>
                <w:rFonts w:hint="eastAsia"/>
                <w:color w:val="000000" w:themeColor="text1"/>
                <w:sz w:val="15"/>
                <w:szCs w:val="15"/>
                <w14:textFill>
                  <w14:solidFill>
                    <w14:schemeClr w14:val="tx1"/>
                  </w14:solidFill>
                </w14:textFill>
              </w:rPr>
              <w:t>收样人：</w:t>
            </w:r>
            <w:r>
              <w:rPr>
                <w:color w:val="000000" w:themeColor="text1"/>
                <w:sz w:val="15"/>
                <w:szCs w:val="15"/>
                <w14:textFill>
                  <w14:solidFill>
                    <w14:schemeClr w14:val="tx1"/>
                  </w14:solidFill>
                </w14:textFill>
              </w:rPr>
              <w:t xml:space="preserve">___________ </w:t>
            </w:r>
            <w:r>
              <w:rPr>
                <w:rFonts w:hint="eastAsia"/>
                <w:color w:val="000000" w:themeColor="text1"/>
                <w:sz w:val="18"/>
                <w:szCs w:val="1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1199" w:type="dxa"/>
            <w:gridSpan w:val="11"/>
            <w:vAlign w:val="center"/>
          </w:tcPr>
          <w:p>
            <w:pPr>
              <w:rPr>
                <w:rFonts w:hint="eastAsia"/>
                <w:color w:val="000000" w:themeColor="text1"/>
                <w:sz w:val="15"/>
                <w:szCs w:val="15"/>
                <w14:textFill>
                  <w14:solidFill>
                    <w14:schemeClr w14:val="tx1"/>
                  </w14:solidFill>
                </w14:textFill>
              </w:rPr>
            </w:pPr>
            <w:r>
              <w:rPr>
                <w:rFonts w:hint="eastAsia"/>
                <w:color w:val="000000" w:themeColor="text1"/>
                <w:sz w:val="18"/>
                <w:szCs w:val="18"/>
                <w:lang w:eastAsia="zh-CN"/>
                <w14:textFill>
                  <w14:solidFill>
                    <w14:schemeClr w14:val="tx1"/>
                  </w14:solidFill>
                </w14:textFill>
              </w:rPr>
              <w:t>备注：</w:t>
            </w:r>
          </w:p>
        </w:tc>
      </w:tr>
    </w:tbl>
    <w:p>
      <w:pPr>
        <w:snapToGrid w:val="0"/>
        <w:spacing w:line="180" w:lineRule="exact"/>
        <w:ind w:firstLine="452" w:firstLineChars="300"/>
        <w:rPr>
          <w:rFonts w:ascii="宋体" w:hAnsi="宋体"/>
          <w:b/>
          <w:bCs/>
          <w:color w:val="000000"/>
          <w:sz w:val="15"/>
          <w:szCs w:val="15"/>
        </w:rPr>
      </w:pPr>
      <w:r>
        <w:rPr>
          <w:rFonts w:hint="eastAsia" w:ascii="宋体" w:hAnsi="宋体"/>
          <w:b/>
          <w:bCs/>
          <w:color w:val="000000"/>
          <w:sz w:val="15"/>
          <w:szCs w:val="15"/>
        </w:rPr>
        <w:t xml:space="preserve">说明：1.《检测收费通知单》作为本协议书的一部分，领取检测报告前须结清检测费用。2. 在检测过程中需补送有关样品、资料，或试验样品出现整改，视情况后会适当延长检测周期。3. 领取检测报告及样品以本协议书为凭证。4. 若对报告有异议，应于收到报告之日起15日内提出，逾期不予受理。5. </w:t>
      </w:r>
      <w:r>
        <w:rPr>
          <w:rFonts w:hint="eastAsia" w:ascii="宋体" w:hAnsi="宋体"/>
          <w:b/>
          <w:color w:val="000000"/>
          <w:sz w:val="15"/>
          <w:szCs w:val="15"/>
        </w:rPr>
        <w:t>本页未能记载的内容在备注页（格式见附件2）中注明，该备注页是协议的一部分。</w:t>
      </w:r>
      <w:r>
        <w:rPr>
          <w:rFonts w:hint="eastAsia" w:ascii="宋体" w:hAnsi="宋体"/>
          <w:b/>
          <w:bCs/>
          <w:color w:val="000000"/>
          <w:sz w:val="15"/>
          <w:szCs w:val="15"/>
        </w:rPr>
        <w:t>6. 可登录广东质检院官网客户服务平台(https://kefu.gqi.org.cn) 或扫描报告二维码，查询报告有关信息（委托方/受检方不同意公开的报告信息除外）。</w:t>
      </w:r>
    </w:p>
    <w:p>
      <w:pPr>
        <w:snapToGrid w:val="0"/>
        <w:spacing w:line="180" w:lineRule="exact"/>
        <w:ind w:firstLine="452" w:firstLineChars="300"/>
        <w:rPr>
          <w:rFonts w:ascii="宋体" w:hAnsi="宋体"/>
          <w:b/>
          <w:bCs/>
          <w:color w:val="000000"/>
          <w:sz w:val="15"/>
          <w:szCs w:val="15"/>
        </w:rPr>
      </w:pPr>
    </w:p>
    <w:p>
      <w:pPr>
        <w:spacing w:line="360" w:lineRule="exact"/>
        <w:ind w:firstLine="840" w:firstLineChars="300"/>
        <w:rPr>
          <w:rFonts w:ascii="黑体" w:eastAsia="黑体"/>
          <w:sz w:val="28"/>
          <w:szCs w:val="28"/>
        </w:rPr>
      </w:pPr>
      <w:r>
        <w:rPr>
          <w:rFonts w:asci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5161915</wp:posOffset>
                </wp:positionH>
                <wp:positionV relativeFrom="paragraph">
                  <wp:posOffset>198120</wp:posOffset>
                </wp:positionV>
                <wp:extent cx="1371600" cy="287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wps:spPr>
                      <wps:txbx>
                        <w:txbxContent>
                          <w:p>
                            <w:r>
                              <w:rPr>
                                <w:rFonts w:hint="eastAsia"/>
                              </w:rPr>
                              <w:t>编号：</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06.45pt;margin-top:15.6pt;height:22.65pt;width:108pt;z-index:251659264;mso-width-relative:page;mso-height-relative:page;" filled="f" stroked="f" coordsize="21600,21600" o:gfxdata="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rakNgAAAAKAQAADwAAAAAAAAABACAAAAAiAAAA&#10;ZHJzL2Rvd25yZXYueG1sUEsBAhQAFAAAAAgAh07iQBO3JA0HAgAAFAQAAA4AAAAAAAAAAQAgAAAA&#10;JwEAAGRycy9lMm9Eb2MueG1sUEsFBgAAAAAGAAYAWQEAAKAFAAAAAA==&#10;">
                <v:fill on="f" focussize="0,0"/>
                <v:stroke on="f"/>
                <v:imagedata o:title=""/>
                <o:lock v:ext="edit" aspectratio="f"/>
                <v:textbox>
                  <w:txbxContent>
                    <w:p>
                      <w:r>
                        <w:rPr>
                          <w:rFonts w:hint="eastAsia"/>
                        </w:rPr>
                        <w:t>编号：</w:t>
                      </w:r>
                    </w:p>
                  </w:txbxContent>
                </v:textbox>
              </v:shape>
            </w:pict>
          </mc:Fallback>
        </mc:AlternateContent>
      </w:r>
      <w:r>
        <w:rPr>
          <w:rFonts w:hint="eastAsia" w:ascii="黑体" w:eastAsia="黑体"/>
          <w:sz w:val="28"/>
          <w:szCs w:val="28"/>
        </w:rPr>
        <w:t>广东产品质量监督检验研究院 皮具、箱包及鞋类产品检测协议书</w:t>
      </w:r>
    </w:p>
    <w:p>
      <w:pPr>
        <w:rPr>
          <w:b/>
          <w:color w:val="000000"/>
          <w:sz w:val="24"/>
        </w:rPr>
      </w:pPr>
    </w:p>
    <w:p>
      <w:pPr>
        <w:rPr>
          <w:b/>
          <w:color w:val="000000"/>
          <w:sz w:val="24"/>
        </w:rPr>
      </w:pPr>
      <w:r>
        <w:rPr>
          <w:rFonts w:hint="eastAsia"/>
          <w:b/>
          <w:color w:val="000000"/>
          <w:sz w:val="24"/>
        </w:rPr>
        <w:t>附件1：委托检测服务条款</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本协议根据《中华人民共和国民法典》，由协议双方充分协商后共同签署，本院按照以下条款提供服务，委托方</w:t>
      </w:r>
      <w:r>
        <w:rPr>
          <w:rFonts w:ascii="黑体" w:hAnsi="宋体" w:eastAsia="黑体"/>
          <w:color w:val="000000"/>
          <w:sz w:val="18"/>
          <w:szCs w:val="18"/>
        </w:rPr>
        <w:t>/</w:t>
      </w:r>
      <w:r>
        <w:rPr>
          <w:rFonts w:hint="eastAsia" w:ascii="黑体" w:hAnsi="宋体" w:eastAsia="黑体"/>
          <w:color w:val="000000"/>
          <w:sz w:val="18"/>
          <w:szCs w:val="18"/>
        </w:rPr>
        <w:t>受检方</w:t>
      </w:r>
      <w:r>
        <w:rPr>
          <w:rFonts w:hint="eastAsia" w:ascii="黑体" w:eastAsia="黑体" w:hAnsiTheme="majorEastAsia"/>
          <w:color w:val="000000" w:themeColor="text1"/>
          <w:sz w:val="18"/>
          <w:szCs w:val="18"/>
          <w14:textFill>
            <w14:solidFill>
              <w14:schemeClr w14:val="tx1"/>
            </w14:solidFill>
          </w14:textFill>
        </w:rPr>
        <w:t>(或其授权代理方，以下统称委托方)</w:t>
      </w:r>
      <w:r>
        <w:rPr>
          <w:rFonts w:hint="eastAsia" w:ascii="黑体" w:hAnsi="宋体" w:eastAsia="黑体"/>
          <w:color w:val="000000"/>
          <w:sz w:val="18"/>
          <w:szCs w:val="18"/>
        </w:rPr>
        <w:t>在签定本协议书时已仔细阅读并已理解条款的内容，在协议书委托方授权代表签名栏处签名表示确认完全接受以下条款的约定。</w:t>
      </w:r>
    </w:p>
    <w:p>
      <w:pPr>
        <w:ind w:firstLine="271" w:firstLineChars="150"/>
        <w:rPr>
          <w:rFonts w:ascii="黑体" w:hAnsi="宋体" w:eastAsia="黑体"/>
          <w:b/>
          <w:color w:val="000000"/>
          <w:sz w:val="18"/>
          <w:szCs w:val="18"/>
        </w:rPr>
      </w:pPr>
      <w:r>
        <w:rPr>
          <w:rFonts w:hint="eastAsia" w:ascii="黑体" w:hAnsi="宋体" w:eastAsia="黑体"/>
          <w:b/>
          <w:color w:val="000000"/>
          <w:sz w:val="18"/>
          <w:szCs w:val="18"/>
        </w:rPr>
        <w:t>一、送检</w:t>
      </w:r>
    </w:p>
    <w:p>
      <w:pPr>
        <w:ind w:left="-141" w:leftChars="-67" w:firstLine="360" w:firstLineChars="200"/>
        <w:rPr>
          <w:rFonts w:ascii="黑体" w:hAnsi="宋体" w:eastAsia="黑体"/>
          <w:color w:val="000000"/>
          <w:sz w:val="18"/>
          <w:szCs w:val="18"/>
        </w:rPr>
      </w:pPr>
      <w:r>
        <w:rPr>
          <w:rFonts w:ascii="黑体" w:hAnsi="宋体" w:eastAsia="黑体"/>
          <w:color w:val="000000"/>
          <w:sz w:val="18"/>
          <w:szCs w:val="18"/>
        </w:rPr>
        <w:t>1.</w:t>
      </w:r>
      <w:r>
        <w:rPr>
          <w:rFonts w:hint="eastAsia" w:ascii="黑体" w:hAnsi="宋体" w:eastAsia="黑体"/>
          <w:color w:val="000000"/>
          <w:sz w:val="18"/>
          <w:szCs w:val="18"/>
        </w:rPr>
        <w:t>委托方应如实填写委托单，如有必要，还应根据本院的要求提供必要的单据及相关资料或提供诸如实施安装样品等为完成检测所必须的配合协助工作；如因委托方未提供、延迟提供、提供错误信息或未能提供其他必要协作，导致本院没有或延迟履行服务承诺造成的损失，本院不承担任何责任</w:t>
      </w:r>
      <w:r>
        <w:rPr>
          <w:rFonts w:hint="eastAsia" w:ascii="黑体" w:eastAsia="黑体" w:hAnsiTheme="majorEastAsia"/>
          <w:color w:val="000000" w:themeColor="text1"/>
          <w:sz w:val="18"/>
          <w:szCs w:val="18"/>
          <w14:textFill>
            <w14:solidFill>
              <w14:schemeClr w14:val="tx1"/>
            </w14:solidFill>
          </w14:textFill>
        </w:rPr>
        <w:t>，因此造成本院损失的，委托人应承担相应赔偿责任</w:t>
      </w:r>
      <w:r>
        <w:rPr>
          <w:rFonts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color w:val="000000" w:themeColor="text1"/>
          <w:sz w:val="18"/>
          <w:szCs w:val="18"/>
          <w14:textFill>
            <w14:solidFill>
              <w14:schemeClr w14:val="tx1"/>
            </w14:solidFill>
          </w14:textFill>
        </w:rPr>
        <w:t>委托人不履行协助义务致使其委托的检测工作不能完成的，本院可以催告委托人在合理期限内履行义务，并可以顺延履行期限；委托人逾期不履行的，本院可以解除本协议。</w:t>
      </w:r>
      <w:r>
        <w:rPr>
          <w:rFonts w:hint="eastAsia" w:ascii="黑体" w:hAnsi="宋体" w:eastAsia="黑体"/>
          <w:color w:val="000000"/>
          <w:sz w:val="18"/>
          <w:szCs w:val="18"/>
        </w:rPr>
        <w:t>委托方应预先通知本院任何与委托服务有关的实际或潜在的已知风险或危险，并承诺所提供的样品及信息符合国家法律法规要求，</w:t>
      </w:r>
      <w:r>
        <w:rPr>
          <w:rFonts w:hint="eastAsia" w:ascii="黑体" w:eastAsia="黑体" w:hAnsiTheme="majorEastAsia"/>
          <w:color w:val="000000" w:themeColor="text1"/>
          <w:sz w:val="18"/>
          <w:szCs w:val="18"/>
          <w14:textFill>
            <w14:solidFill>
              <w14:schemeClr w14:val="tx1"/>
            </w14:solidFill>
          </w14:textFill>
        </w:rPr>
        <w:t>因此造成本院损失的，委托人应承担相应赔偿责任。</w:t>
      </w:r>
      <w:r>
        <w:rPr>
          <w:rFonts w:hint="eastAsia" w:ascii="黑体" w:hAnsi="宋体" w:eastAsia="黑体"/>
          <w:color w:val="000000"/>
          <w:sz w:val="18"/>
          <w:szCs w:val="18"/>
        </w:rPr>
        <w:t>本院不负责审查合法性，除非有明显证据证明存在违法违规情况，本院有权拒绝受理。本院和委托方均有义务保护双方的商业秘密。</w:t>
      </w:r>
      <w:r>
        <w:rPr>
          <w:rFonts w:hint="eastAsia" w:ascii="黑体" w:eastAsia="黑体" w:hAnsiTheme="majorEastAsia"/>
          <w:color w:val="000000" w:themeColor="text1"/>
          <w:sz w:val="18"/>
          <w:szCs w:val="18"/>
          <w14:textFill>
            <w14:solidFill>
              <w14:schemeClr w14:val="tx1"/>
            </w14:solidFill>
          </w14:textFill>
        </w:rPr>
        <w:t>委托方如有此协议书之外的保密要求，应另以书面形式提出并获得本院同意。</w:t>
      </w:r>
    </w:p>
    <w:p>
      <w:pPr>
        <w:ind w:left="-141" w:leftChars="-67" w:firstLine="360" w:firstLineChars="200"/>
        <w:rPr>
          <w:rFonts w:ascii="黑体" w:hAnsi="宋体" w:eastAsia="黑体"/>
          <w:color w:val="000000"/>
          <w:sz w:val="18"/>
          <w:szCs w:val="18"/>
        </w:rPr>
      </w:pPr>
      <w:r>
        <w:rPr>
          <w:rFonts w:ascii="黑体" w:hAnsi="宋体" w:eastAsia="黑体"/>
          <w:color w:val="000000"/>
          <w:sz w:val="18"/>
          <w:szCs w:val="18"/>
        </w:rPr>
        <w:t>2.</w:t>
      </w:r>
      <w:r>
        <w:rPr>
          <w:rFonts w:hint="eastAsia" w:ascii="黑体" w:hAnsi="宋体" w:eastAsia="黑体"/>
          <w:color w:val="000000"/>
          <w:sz w:val="18"/>
          <w:szCs w:val="18"/>
        </w:rPr>
        <w:t>委托方应在委托检测协议书中明确委托服务要求，包括但不限于检测项目及其所依据的检测方法</w:t>
      </w:r>
      <w:r>
        <w:rPr>
          <w:rFonts w:hint="eastAsia" w:ascii="黑体" w:eastAsia="黑体" w:hAnsiTheme="majorEastAsia"/>
          <w:color w:val="000000" w:themeColor="text1"/>
          <w:sz w:val="18"/>
          <w:szCs w:val="18"/>
          <w14:textFill>
            <w14:solidFill>
              <w14:schemeClr w14:val="tx1"/>
            </w14:solidFill>
          </w14:textFill>
        </w:rPr>
        <w:t>（不得违反国家有关强制性规定的检验检测规程或者方法）</w:t>
      </w:r>
      <w:r>
        <w:rPr>
          <w:rFonts w:hint="eastAsia" w:ascii="黑体" w:hAnsi="宋体" w:eastAsia="黑体"/>
          <w:color w:val="000000"/>
          <w:sz w:val="18"/>
          <w:szCs w:val="18"/>
        </w:rPr>
        <w:t>，必要时还应明确</w:t>
      </w:r>
      <w:r>
        <w:rPr>
          <w:rFonts w:hint="eastAsia" w:ascii="黑体" w:eastAsia="黑体" w:hAnsiTheme="majorEastAsia"/>
          <w:color w:val="000000" w:themeColor="text1"/>
          <w:sz w:val="18"/>
          <w:szCs w:val="18"/>
          <w14:textFill>
            <w14:solidFill>
              <w14:schemeClr w14:val="tx1"/>
            </w14:solidFill>
          </w14:textFill>
        </w:rPr>
        <w:t>判定依据</w:t>
      </w:r>
      <w:r>
        <w:rPr>
          <w:rFonts w:ascii="黑体" w:hAnsi="宋体" w:eastAsia="黑体"/>
          <w:color w:val="000000"/>
          <w:sz w:val="18"/>
          <w:szCs w:val="18"/>
        </w:rPr>
        <w:t>(</w:t>
      </w:r>
      <w:r>
        <w:rPr>
          <w:rFonts w:hint="eastAsia" w:ascii="黑体" w:eastAsia="黑体" w:hAnsiTheme="majorEastAsia"/>
          <w:color w:val="000000" w:themeColor="text1"/>
          <w:sz w:val="18"/>
          <w:szCs w:val="18"/>
          <w14:textFill>
            <w14:solidFill>
              <w14:schemeClr w14:val="tx1"/>
            </w14:solidFill>
          </w14:textFill>
        </w:rPr>
        <w:t>限量指标、</w:t>
      </w:r>
      <w:r>
        <w:rPr>
          <w:rFonts w:hint="eastAsia" w:ascii="黑体" w:hAnsi="宋体" w:eastAsia="黑体"/>
          <w:color w:val="000000"/>
          <w:sz w:val="18"/>
          <w:szCs w:val="18"/>
        </w:rPr>
        <w:t>产品标准或企业标准</w:t>
      </w:r>
      <w:r>
        <w:rPr>
          <w:rFonts w:ascii="黑体" w:hAnsi="宋体" w:eastAsia="黑体"/>
          <w:color w:val="000000"/>
          <w:sz w:val="18"/>
          <w:szCs w:val="18"/>
        </w:rPr>
        <w:t>)</w:t>
      </w:r>
      <w:r>
        <w:rPr>
          <w:rFonts w:hint="eastAsia" w:ascii="黑体" w:hAnsi="宋体" w:eastAsia="黑体"/>
          <w:color w:val="000000"/>
          <w:sz w:val="18"/>
          <w:szCs w:val="18"/>
        </w:rPr>
        <w:t>。如委托方具体要求不明确，本院将选取适当的、科学的标准或方法进行检测，委托方不得以此为由否认本院选择的标准或方法，不得否认本</w:t>
      </w:r>
      <w:r>
        <w:rPr>
          <w:rFonts w:hint="eastAsia" w:ascii="黑体" w:eastAsia="黑体" w:hAnsiTheme="majorEastAsia"/>
          <w:color w:val="000000" w:themeColor="text1"/>
          <w:sz w:val="18"/>
          <w:szCs w:val="18"/>
          <w14:textFill>
            <w14:solidFill>
              <w14:schemeClr w14:val="tx1"/>
            </w14:solidFill>
          </w14:textFill>
        </w:rPr>
        <w:t>院根据相关标准或方法检测后出具报告的依法合规性及适用性</w:t>
      </w:r>
      <w:r>
        <w:rPr>
          <w:rFonts w:hint="eastAsia" w:ascii="宋体" w:hAnsi="宋体"/>
          <w:color w:val="000000" w:themeColor="text1"/>
          <w:sz w:val="18"/>
          <w:szCs w:val="15"/>
          <w14:textFill>
            <w14:solidFill>
              <w14:schemeClr w14:val="tx1"/>
            </w14:solidFill>
          </w14:textFill>
        </w:rPr>
        <w:t>。</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hAnsi="宋体" w:eastAsia="黑体"/>
          <w:color w:val="000000"/>
          <w:sz w:val="18"/>
          <w:szCs w:val="18"/>
        </w:rPr>
        <w:t>3.</w:t>
      </w:r>
      <w:r>
        <w:rPr>
          <w:rFonts w:hint="eastAsia" w:ascii="黑体" w:hAnsi="宋体" w:eastAsia="黑体"/>
          <w:color w:val="000000"/>
          <w:sz w:val="18"/>
          <w:szCs w:val="18"/>
        </w:rPr>
        <w:t>委托方</w:t>
      </w:r>
      <w:r>
        <w:rPr>
          <w:rFonts w:hint="eastAsia" w:ascii="黑体" w:hAnsi="宋体" w:eastAsia="黑体"/>
          <w:color w:val="000000" w:themeColor="text1"/>
          <w:sz w:val="18"/>
          <w:szCs w:val="18"/>
          <w14:textFill>
            <w14:solidFill>
              <w14:schemeClr w14:val="tx1"/>
            </w14:solidFill>
          </w14:textFill>
        </w:rPr>
        <w:t>应注明</w:t>
      </w:r>
      <w:r>
        <w:rPr>
          <w:rFonts w:hint="eastAsia" w:ascii="黑体" w:hAnsi="宋体" w:eastAsia="黑体"/>
          <w:color w:val="000000"/>
          <w:sz w:val="18"/>
          <w:szCs w:val="18"/>
        </w:rPr>
        <w:t>检测标准版本，</w:t>
      </w:r>
      <w:r>
        <w:rPr>
          <w:rFonts w:hint="eastAsia" w:ascii="黑体" w:eastAsia="黑体" w:hAnsiTheme="majorEastAsia"/>
          <w:color w:val="000000" w:themeColor="text1"/>
          <w:sz w:val="18"/>
          <w:szCs w:val="18"/>
          <w14:textFill>
            <w14:solidFill>
              <w14:schemeClr w14:val="tx1"/>
            </w14:solidFill>
          </w14:textFill>
        </w:rPr>
        <w:t>如委托方未指定，</w:t>
      </w:r>
      <w:r>
        <w:rPr>
          <w:rFonts w:hint="eastAsia" w:ascii="黑体" w:hAnsi="宋体" w:eastAsia="黑体"/>
          <w:color w:val="000000"/>
          <w:sz w:val="18"/>
          <w:szCs w:val="18"/>
        </w:rPr>
        <w:t>本院默认使用最新有效版本或合适的版本进行检测。</w:t>
      </w:r>
      <w:r>
        <w:rPr>
          <w:rFonts w:hint="eastAsia" w:ascii="黑体" w:eastAsia="黑体" w:hAnsiTheme="majorEastAsia"/>
          <w:color w:val="000000" w:themeColor="text1"/>
          <w:sz w:val="18"/>
          <w:szCs w:val="18"/>
          <w14:textFill>
            <w14:solidFill>
              <w14:schemeClr w14:val="tx1"/>
            </w14:solidFill>
          </w14:textFill>
        </w:rPr>
        <w:t>如果在本协议书签订后，国家强制实施的标准或方法发生更新或变化的，在相关检测报告未签发前，委托方可以书面要求本院执行更新或变化后的标准或方法。因此而发生的检测费用增加的，委托方应予承担并支付后，本院重新开始检测工作。</w:t>
      </w:r>
    </w:p>
    <w:p>
      <w:pPr>
        <w:ind w:left="-141" w:leftChars="-67" w:firstLine="424" w:firstLineChars="236"/>
        <w:rPr>
          <w:rFonts w:ascii="黑体" w:hAnsi="宋体" w:eastAsia="黑体"/>
          <w:color w:val="000000"/>
          <w:sz w:val="18"/>
          <w:szCs w:val="18"/>
        </w:rPr>
      </w:pPr>
      <w:r>
        <w:rPr>
          <w:rFonts w:hint="eastAsia" w:ascii="黑体" w:eastAsia="黑体" w:hAnsiTheme="majorEastAsia"/>
          <w:color w:val="000000" w:themeColor="text1"/>
          <w:sz w:val="18"/>
          <w:szCs w:val="18"/>
          <w14:textFill>
            <w14:solidFill>
              <w14:schemeClr w14:val="tx1"/>
            </w14:solidFill>
          </w14:textFill>
        </w:rPr>
        <w:t>4.</w:t>
      </w:r>
      <w:r>
        <w:rPr>
          <w:rFonts w:hint="eastAsia" w:ascii="黑体" w:hAnsi="宋体" w:eastAsia="黑体"/>
          <w:color w:val="000000" w:themeColor="text1"/>
          <w:sz w:val="18"/>
          <w:szCs w:val="18"/>
          <w14:textFill>
            <w14:solidFill>
              <w14:schemeClr w14:val="tx1"/>
            </w14:solidFill>
          </w14:textFill>
        </w:rPr>
        <w:t>必要时，仅在征得</w:t>
      </w:r>
      <w:r>
        <w:rPr>
          <w:rFonts w:hint="eastAsia" w:ascii="黑体" w:hAnsi="宋体" w:eastAsia="黑体"/>
          <w:color w:val="000000"/>
          <w:sz w:val="18"/>
          <w:szCs w:val="18"/>
        </w:rPr>
        <w:t>应委托方</w:t>
      </w:r>
      <w:r>
        <w:rPr>
          <w:rFonts w:hint="eastAsia" w:ascii="黑体" w:hAnsi="宋体" w:eastAsia="黑体"/>
          <w:color w:val="000000" w:themeColor="text1"/>
          <w:sz w:val="18"/>
          <w:szCs w:val="18"/>
          <w14:textFill>
            <w14:solidFill>
              <w14:schemeClr w14:val="tx1"/>
            </w14:solidFill>
          </w14:textFill>
        </w:rPr>
        <w:t>同意后</w:t>
      </w:r>
      <w:r>
        <w:rPr>
          <w:rFonts w:hint="eastAsia" w:ascii="黑体" w:hAnsi="宋体" w:eastAsia="黑体"/>
          <w:color w:val="000000"/>
          <w:sz w:val="18"/>
          <w:szCs w:val="18"/>
        </w:rPr>
        <w:t>，本院可委派分包单位承担部分</w:t>
      </w:r>
      <w:r>
        <w:rPr>
          <w:rFonts w:hint="eastAsia" w:ascii="黑体" w:hAnsi="宋体" w:eastAsia="黑体"/>
          <w:color w:val="000000" w:themeColor="text1"/>
          <w:sz w:val="18"/>
          <w:szCs w:val="18"/>
          <w14:textFill>
            <w14:solidFill>
              <w14:schemeClr w14:val="tx1"/>
            </w14:solidFill>
          </w14:textFill>
        </w:rPr>
        <w:t>检测任务</w:t>
      </w:r>
      <w:r>
        <w:rPr>
          <w:rFonts w:hint="eastAsia" w:ascii="黑体" w:hAnsi="宋体" w:eastAsia="黑体"/>
          <w:color w:val="000000"/>
          <w:sz w:val="18"/>
          <w:szCs w:val="18"/>
        </w:rPr>
        <w:t>，检测业务委托方授权本院向分包单位提供其所承担服务的全部必要的信息。</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5.一般情况，本院检测周期为委托检测协议书上双方约定的时间，特殊情况除外。</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6.本院根据委托方提出的委托检测项目和收费标准计算检测费用</w:t>
      </w:r>
      <w:r>
        <w:rPr>
          <w:rFonts w:hint="eastAsia" w:ascii="黑体" w:eastAsia="黑体" w:hAnsiTheme="majorEastAsia"/>
          <w:sz w:val="18"/>
          <w:szCs w:val="18"/>
        </w:rPr>
        <w:t>，</w:t>
      </w:r>
      <w:r>
        <w:rPr>
          <w:rFonts w:ascii="黑体" w:eastAsia="黑体" w:hAnsiTheme="majorEastAsia"/>
          <w:sz w:val="18"/>
          <w:szCs w:val="18"/>
        </w:rPr>
        <w:t>如果逾期缴费</w:t>
      </w:r>
      <w:r>
        <w:rPr>
          <w:rFonts w:hint="eastAsia" w:ascii="黑体" w:eastAsia="黑体" w:hAnsiTheme="majorEastAsia"/>
          <w:sz w:val="18"/>
          <w:szCs w:val="18"/>
        </w:rPr>
        <w:t>，</w:t>
      </w:r>
      <w:r>
        <w:rPr>
          <w:rFonts w:ascii="黑体" w:eastAsia="黑体" w:hAnsiTheme="majorEastAsia"/>
          <w:sz w:val="18"/>
          <w:szCs w:val="18"/>
        </w:rPr>
        <w:t>收取违约金（按日千分之一）</w:t>
      </w:r>
      <w:r>
        <w:rPr>
          <w:rFonts w:hint="eastAsia" w:ascii="黑体" w:hAnsi="宋体" w:eastAsia="黑体"/>
          <w:color w:val="000000"/>
          <w:sz w:val="18"/>
          <w:szCs w:val="18"/>
        </w:rPr>
        <w:t>。本院采用检测前收费的方式，委托方付清全部费用后方可开始检测工作并计算服务时间，但委托方与我院另行约定了其他结算方式的除外。如采用银行汇款方式，委托方应在汇款后将汇款凭证注明检测单编号后传真给本院。</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7.检测协议书双方签字确定后至检测报告签发期间，委托方对协议内容提出的任何修改，需提出书面申请，填写更改原因和更改内容，由本院确认同意后并由双方重新确认检测费用或相关费用后方可有效。</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8.检测报告签发后，委托方提出对报告修改的，如果要求换用新的样品和</w:t>
      </w:r>
      <w:r>
        <w:rPr>
          <w:rFonts w:ascii="黑体" w:hAnsi="宋体" w:eastAsia="黑体"/>
          <w:color w:val="000000"/>
          <w:sz w:val="18"/>
          <w:szCs w:val="18"/>
        </w:rPr>
        <w:t>/</w:t>
      </w:r>
      <w:r>
        <w:rPr>
          <w:rFonts w:hint="eastAsia" w:ascii="黑体" w:hAnsi="宋体" w:eastAsia="黑体"/>
          <w:color w:val="000000"/>
          <w:sz w:val="18"/>
          <w:szCs w:val="18"/>
        </w:rPr>
        <w:t>或按新方法或对协议中规定的检测需求进行更改的，则视作新的委托要求，委托方应重新办理委托手续并支付相应的检测费用。</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9.遇不可抗力</w:t>
      </w:r>
      <w:r>
        <w:rPr>
          <w:rFonts w:hint="eastAsia" w:ascii="黑体" w:eastAsia="黑体" w:hAnsiTheme="majorEastAsia"/>
          <w:sz w:val="18"/>
          <w:szCs w:val="18"/>
        </w:rPr>
        <w:t>因素或</w:t>
      </w:r>
      <w:r>
        <w:rPr>
          <w:rFonts w:ascii="黑体" w:eastAsia="黑体" w:hAnsiTheme="majorEastAsia"/>
          <w:sz w:val="18"/>
          <w:szCs w:val="18"/>
        </w:rPr>
        <w:t>“情势变更”导致</w:t>
      </w:r>
      <w:r>
        <w:rPr>
          <w:rFonts w:hint="eastAsia" w:ascii="黑体" w:eastAsia="黑体" w:hAnsiTheme="majorEastAsia"/>
          <w:sz w:val="18"/>
          <w:szCs w:val="18"/>
        </w:rPr>
        <w:t>无法检测</w:t>
      </w:r>
      <w:r>
        <w:rPr>
          <w:rFonts w:ascii="黑体" w:eastAsia="黑体" w:hAnsiTheme="majorEastAsia"/>
          <w:sz w:val="18"/>
          <w:szCs w:val="18"/>
        </w:rPr>
        <w:t>、测试设备故障</w:t>
      </w:r>
      <w:r>
        <w:rPr>
          <w:rFonts w:hint="eastAsia" w:ascii="黑体" w:eastAsia="黑体" w:hAnsiTheme="majorEastAsia"/>
          <w:sz w:val="18"/>
          <w:szCs w:val="18"/>
        </w:rPr>
        <w:t>等，协议双方应互相协商，以找到公平的解决办法（延期、中止、取消协议等），对于该情况本院不承担任何违约责任。不可抗力因素通常包括地震、水灾、火灾、暴风雪等自然灾害和国家法律法规、政策的调整等。</w:t>
      </w:r>
      <w:r>
        <w:rPr>
          <w:rFonts w:ascii="黑体" w:eastAsia="黑体" w:hAnsiTheme="majorEastAsia"/>
          <w:sz w:val="18"/>
          <w:szCs w:val="18"/>
        </w:rPr>
        <w:t>“情势变更”</w:t>
      </w:r>
      <w:r>
        <w:rPr>
          <w:rFonts w:hint="eastAsia" w:ascii="黑体" w:eastAsia="黑体" w:hAnsiTheme="majorEastAsia"/>
          <w:sz w:val="18"/>
          <w:szCs w:val="18"/>
        </w:rPr>
        <w:t>指协议的基础条件发生了双方在订立协议时无法预见的、不属于商业风险的重大变化（例如疫情封控管制、重大的社会事件等情形），继续履行协议对于一方明显不公平的情况。</w:t>
      </w:r>
    </w:p>
    <w:p>
      <w:pPr>
        <w:ind w:left="-141" w:leftChars="-67" w:firstLine="424" w:firstLineChars="236"/>
        <w:rPr>
          <w:rFonts w:ascii="黑体" w:hAnsi="宋体" w:eastAsia="黑体"/>
          <w:color w:val="000000"/>
          <w:sz w:val="18"/>
          <w:szCs w:val="18"/>
        </w:rPr>
      </w:pPr>
      <w:r>
        <w:rPr>
          <w:rFonts w:ascii="黑体" w:hAnsi="宋体" w:eastAsia="黑体"/>
          <w:color w:val="000000"/>
          <w:sz w:val="18"/>
          <w:szCs w:val="18"/>
        </w:rPr>
        <w:t>10.</w:t>
      </w:r>
      <w:r>
        <w:rPr>
          <w:rFonts w:hint="eastAsia" w:ascii="黑体" w:hAnsi="宋体" w:eastAsia="黑体"/>
          <w:color w:val="000000"/>
          <w:sz w:val="18"/>
          <w:szCs w:val="18"/>
        </w:rPr>
        <w:t>首次委托本院开展检测的客户，请提供营业执照的复印件（委托方为自然人的，提供身份证复印件），并加盖公章声明与原件相符。</w:t>
      </w:r>
    </w:p>
    <w:p>
      <w:pPr>
        <w:spacing w:line="220" w:lineRule="exact"/>
        <w:ind w:left="-141" w:leftChars="-67" w:firstLine="458" w:firstLineChars="255"/>
        <w:rPr>
          <w:rFonts w:ascii="黑体" w:hAnsi="宋体" w:eastAsia="黑体"/>
          <w:color w:val="000000"/>
          <w:sz w:val="18"/>
          <w:szCs w:val="18"/>
        </w:rPr>
      </w:pPr>
      <w:r>
        <w:rPr>
          <w:rFonts w:ascii="黑体" w:hAnsi="宋体" w:eastAsia="黑体"/>
          <w:color w:val="000000"/>
          <w:sz w:val="18"/>
          <w:szCs w:val="18"/>
        </w:rPr>
        <w:t>11</w:t>
      </w:r>
      <w:r>
        <w:rPr>
          <w:rFonts w:hint="eastAsia" w:ascii="黑体" w:hAnsi="宋体" w:eastAsia="黑体"/>
          <w:color w:val="000000"/>
          <w:sz w:val="18"/>
          <w:szCs w:val="18"/>
        </w:rPr>
        <w:t>．本协议书一经委托方授权代表（委托人）签名，即视为生效，委托方若发生联系人或联系方式变更情况应及时书面通知本院，因此发生的损失，本院概不负责。</w:t>
      </w:r>
    </w:p>
    <w:p>
      <w:pPr>
        <w:ind w:firstLine="181" w:firstLineChars="100"/>
        <w:rPr>
          <w:rFonts w:ascii="黑体" w:hAnsi="宋体" w:eastAsia="黑体"/>
          <w:b/>
          <w:color w:val="000000"/>
          <w:sz w:val="18"/>
          <w:szCs w:val="18"/>
        </w:rPr>
      </w:pPr>
      <w:r>
        <w:rPr>
          <w:rFonts w:hint="eastAsia" w:ascii="黑体" w:hAnsi="宋体" w:eastAsia="黑体"/>
          <w:b/>
          <w:color w:val="000000"/>
          <w:sz w:val="18"/>
          <w:szCs w:val="18"/>
        </w:rPr>
        <w:t>二、检测报告</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hAnsi="宋体" w:eastAsia="黑体"/>
          <w:color w:val="000000"/>
          <w:sz w:val="18"/>
          <w:szCs w:val="18"/>
        </w:rPr>
        <w:t>1.</w:t>
      </w:r>
      <w:r>
        <w:rPr>
          <w:rFonts w:hint="eastAsia" w:ascii="黑体" w:hAnsi="宋体" w:eastAsia="黑体"/>
          <w:color w:val="000000"/>
          <w:sz w:val="18"/>
          <w:szCs w:val="18"/>
        </w:rPr>
        <w:t>本院所出具的检测报告仅对来样负责（检测数据仅对来样有效）</w:t>
      </w:r>
      <w:r>
        <w:rPr>
          <w:rFonts w:ascii="黑体" w:eastAsia="黑体" w:hAnsiTheme="majorEastAsia"/>
          <w:color w:val="000000" w:themeColor="text1"/>
          <w:sz w:val="18"/>
          <w:szCs w:val="18"/>
          <w14:textFill>
            <w14:solidFill>
              <w14:schemeClr w14:val="tx1"/>
            </w14:solidFill>
          </w14:textFill>
        </w:rPr>
        <w:t>，并不对抽取该样品的同批产品给出任何意见。</w:t>
      </w:r>
      <w:r>
        <w:rPr>
          <w:rFonts w:hint="eastAsia" w:ascii="黑体" w:eastAsia="黑体" w:hAnsiTheme="majorEastAsia"/>
          <w:color w:val="000000" w:themeColor="text1"/>
          <w:sz w:val="18"/>
          <w:szCs w:val="18"/>
          <w14:textFill>
            <w14:solidFill>
              <w14:schemeClr w14:val="tx1"/>
            </w14:solidFill>
          </w14:textFill>
        </w:rPr>
        <w:t>本院</w:t>
      </w:r>
      <w:r>
        <w:rPr>
          <w:rFonts w:ascii="黑体" w:eastAsia="黑体" w:hAnsiTheme="majorEastAsia"/>
          <w:color w:val="000000" w:themeColor="text1"/>
          <w:sz w:val="18"/>
          <w:szCs w:val="18"/>
          <w14:textFill>
            <w14:solidFill>
              <w14:schemeClr w14:val="tx1"/>
            </w14:solidFill>
          </w14:textFill>
        </w:rPr>
        <w:t>承担责任的范围不超出对样品出具的检测报告的范围。</w:t>
      </w:r>
    </w:p>
    <w:p>
      <w:pPr>
        <w:ind w:left="-141" w:leftChars="-67" w:firstLine="424" w:firstLineChars="236"/>
        <w:rPr>
          <w:rFonts w:ascii="黑体" w:hAnsi="宋体" w:eastAsia="黑体"/>
          <w:color w:val="000000"/>
          <w:sz w:val="18"/>
          <w:szCs w:val="18"/>
        </w:rPr>
      </w:pPr>
      <w:r>
        <w:rPr>
          <w:rFonts w:ascii="黑体" w:hAnsi="宋体" w:eastAsia="黑体"/>
          <w:color w:val="000000"/>
          <w:sz w:val="18"/>
          <w:szCs w:val="18"/>
        </w:rPr>
        <w:t>2.</w:t>
      </w:r>
      <w:r>
        <w:rPr>
          <w:rFonts w:hint="eastAsia" w:ascii="黑体" w:hAnsi="宋体" w:eastAsia="黑体"/>
          <w:color w:val="000000"/>
          <w:sz w:val="18"/>
          <w:szCs w:val="18"/>
        </w:rPr>
        <w:t>检测方的检测报告有固定的格式，</w:t>
      </w:r>
      <w:r>
        <w:rPr>
          <w:rFonts w:hint="eastAsia" w:ascii="黑体" w:hAnsi="宋体" w:eastAsia="黑体"/>
          <w:color w:val="000000" w:themeColor="text1"/>
          <w:sz w:val="18"/>
          <w:szCs w:val="18"/>
          <w14:textFill>
            <w14:solidFill>
              <w14:schemeClr w14:val="tx1"/>
            </w14:solidFill>
          </w14:textFill>
        </w:rPr>
        <w:t>一般情况下</w:t>
      </w:r>
      <w:r>
        <w:rPr>
          <w:rFonts w:hint="eastAsia" w:ascii="黑体" w:hAnsi="宋体" w:eastAsia="黑体"/>
          <w:color w:val="000000"/>
          <w:sz w:val="18"/>
          <w:szCs w:val="18"/>
        </w:rPr>
        <w:t>仅提供唯一正本（原则上一般委托检测的报告仅显示委托方信息）</w:t>
      </w:r>
      <w:r>
        <w:rPr>
          <w:rFonts w:hint="eastAsia" w:ascii="黑体" w:eastAsia="黑体" w:hAnsiTheme="majorEastAsia"/>
          <w:color w:val="000000" w:themeColor="text1"/>
          <w:sz w:val="18"/>
          <w:szCs w:val="18"/>
          <w14:textFill>
            <w14:solidFill>
              <w14:schemeClr w14:val="tx1"/>
            </w14:solidFill>
          </w14:textFill>
        </w:rPr>
        <w:t>（协议客户以协议为准）</w:t>
      </w:r>
      <w:r>
        <w:rPr>
          <w:rFonts w:hint="eastAsia" w:ascii="黑体" w:hAnsi="宋体" w:eastAsia="黑体"/>
          <w:color w:val="000000"/>
          <w:sz w:val="18"/>
          <w:szCs w:val="18"/>
        </w:rPr>
        <w:t>。邮寄报告、出具报告副本等费用由委托方支付。</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eastAsia="黑体" w:hAnsiTheme="majorEastAsia"/>
          <w:sz w:val="18"/>
          <w:szCs w:val="18"/>
        </w:rPr>
        <w:t>3.</w:t>
      </w:r>
      <w:r>
        <w:rPr>
          <w:rFonts w:hint="eastAsia" w:ascii="黑体" w:eastAsia="黑体" w:hAnsiTheme="majorEastAsia"/>
          <w:sz w:val="18"/>
          <w:szCs w:val="18"/>
        </w:rPr>
        <w:t>委托方应在本协</w:t>
      </w:r>
      <w:r>
        <w:rPr>
          <w:rFonts w:hint="eastAsia" w:ascii="黑体" w:eastAsia="黑体" w:hAnsiTheme="majorEastAsia"/>
          <w:color w:val="000000" w:themeColor="text1"/>
          <w:sz w:val="18"/>
          <w:szCs w:val="18"/>
          <w14:textFill>
            <w14:solidFill>
              <w14:schemeClr w14:val="tx1"/>
            </w14:solidFill>
          </w14:textFill>
        </w:rPr>
        <w:t>议签订时，明确检测报告使用范围与目的，报告使用范围与目的要符合依法合规、公平诚信、不违背公序良俗等原则。滥用检测报告的行为，本院不承担任何可能的责任。</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4.检测报告不构成对委托方、样品生产方、受检方来样以外的相关产品质量的保证或承诺，其来样以外产品引发的责任由其自身承担，本院不因来样的检测报告而承担任何责任。</w:t>
      </w:r>
    </w:p>
    <w:p>
      <w:pPr>
        <w:spacing w:line="360" w:lineRule="exact"/>
        <w:ind w:firstLine="840" w:firstLineChars="300"/>
        <w:rPr>
          <w:rFonts w:ascii="黑体" w:eastAsia="黑体"/>
          <w:sz w:val="28"/>
          <w:szCs w:val="28"/>
        </w:rPr>
      </w:pPr>
      <w:r>
        <w:rPr>
          <w:rFonts w:asci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5161915</wp:posOffset>
                </wp:positionH>
                <wp:positionV relativeFrom="paragraph">
                  <wp:posOffset>198120</wp:posOffset>
                </wp:positionV>
                <wp:extent cx="1371600" cy="28765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wps:spPr>
                      <wps:txbx>
                        <w:txbxContent>
                          <w:p>
                            <w:r>
                              <w:rPr>
                                <w:rFonts w:hint="eastAsia"/>
                              </w:rPr>
                              <w:t>编号：</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06.45pt;margin-top:15.6pt;height:22.65pt;width:108pt;z-index:251660288;mso-width-relative:page;mso-height-relative:page;" filled="f" stroked="f" coordsize="21600,21600" o:gfxdata="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KtqQ2AAAAAoBAAAPAAAAAAAAAAEAIAAAACIAAABk&#10;cnMvZG93bnJldi54bWxQSwECFAAUAAAACACHTuJAaKLIVgYCAAAUBAAADgAAAAAAAAABACAAAAAn&#10;AQAAZHJzL2Uyb0RvYy54bWxQSwUGAAAAAAYABgBZAQAAnwUAAAAA&#10;">
                <v:fill on="f" focussize="0,0"/>
                <v:stroke on="f"/>
                <v:imagedata o:title=""/>
                <o:lock v:ext="edit" aspectratio="f"/>
                <v:textbox>
                  <w:txbxContent>
                    <w:p>
                      <w:r>
                        <w:rPr>
                          <w:rFonts w:hint="eastAsia"/>
                        </w:rPr>
                        <w:t>编号：</w:t>
                      </w:r>
                    </w:p>
                  </w:txbxContent>
                </v:textbox>
              </v:shape>
            </w:pict>
          </mc:Fallback>
        </mc:AlternateContent>
      </w:r>
      <w:r>
        <w:rPr>
          <w:rFonts w:hint="eastAsia" w:ascii="黑体" w:eastAsia="黑体"/>
          <w:sz w:val="28"/>
          <w:szCs w:val="28"/>
        </w:rPr>
        <w:t>广东产品质量监督检验研究院 皮具、箱包及鞋类产品检测协议书</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5.检测报告签发后，本院可以根据国家法律法规、行政规章、行业惯例或内部管理要求，留存相关报告、记录、档案等技术或管理资料，该行为不属于对保密条款的违反。</w:t>
      </w:r>
    </w:p>
    <w:p>
      <w:pPr>
        <w:ind w:left="-141" w:leftChars="-67" w:firstLine="424" w:firstLineChars="236"/>
        <w:rPr>
          <w:rFonts w:ascii="黑体" w:hAnsi="宋体" w:eastAsia="黑体"/>
          <w:color w:val="000000"/>
          <w:sz w:val="18"/>
          <w:szCs w:val="18"/>
        </w:rPr>
      </w:pPr>
      <w:r>
        <w:rPr>
          <w:rFonts w:hint="eastAsia" w:ascii="黑体" w:eastAsia="黑体" w:hAnsiTheme="majorEastAsia"/>
          <w:color w:val="000000" w:themeColor="text1"/>
          <w:sz w:val="18"/>
          <w:szCs w:val="18"/>
          <w14:textFill>
            <w14:solidFill>
              <w14:schemeClr w14:val="tx1"/>
            </w14:solidFill>
          </w14:textFill>
        </w:rPr>
        <w:t>6.根据相关部门规章的要求，本院应当向所在地省级市场监督管理部门报告持续符合相应条件和要求、遵守从业规范、开展检验检测活动以及统计数据等信息。本院在检验检测活动中发现普遍存在的产品质量问题的，应当及时向市场监督管理部门报告。此类行为不属于对保密条款的违反</w:t>
      </w:r>
      <w:r>
        <w:rPr>
          <w:rFonts w:ascii="黑体" w:eastAsia="黑体" w:hAnsiTheme="majorEastAsia"/>
          <w:color w:val="000000" w:themeColor="text1"/>
          <w:sz w:val="18"/>
          <w:szCs w:val="18"/>
          <w14:textFill>
            <w14:solidFill>
              <w14:schemeClr w14:val="tx1"/>
            </w14:solidFill>
          </w14:textFill>
        </w:rPr>
        <w:t>。</w:t>
      </w:r>
    </w:p>
    <w:p>
      <w:pPr>
        <w:ind w:firstLine="141" w:firstLineChars="78"/>
        <w:rPr>
          <w:rFonts w:ascii="黑体" w:hAnsi="宋体" w:eastAsia="黑体"/>
          <w:b/>
          <w:color w:val="000000"/>
          <w:sz w:val="18"/>
          <w:szCs w:val="18"/>
        </w:rPr>
      </w:pPr>
      <w:r>
        <w:rPr>
          <w:rFonts w:hint="eastAsia" w:ascii="黑体" w:hAnsi="宋体" w:eastAsia="黑体"/>
          <w:b/>
          <w:color w:val="000000"/>
          <w:sz w:val="18"/>
          <w:szCs w:val="18"/>
        </w:rPr>
        <w:t>三、样品</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ascii="黑体" w:hAnsi="宋体" w:eastAsia="黑体"/>
          <w:color w:val="000000"/>
          <w:sz w:val="18"/>
          <w:szCs w:val="18"/>
        </w:rPr>
        <w:t>1.</w:t>
      </w:r>
      <w:r>
        <w:rPr>
          <w:rFonts w:hint="eastAsia" w:ascii="黑体" w:eastAsia="黑体" w:hAnsiTheme="majorEastAsia"/>
          <w:color w:val="000000" w:themeColor="text1"/>
          <w:sz w:val="18"/>
          <w:szCs w:val="18"/>
          <w14:textFill>
            <w14:solidFill>
              <w14:schemeClr w14:val="tx1"/>
            </w14:solidFill>
          </w14:textFill>
        </w:rPr>
        <w:t>委托方将待检测的样品送达本院时，应对样品进行妥善防护和包装，如样品在运输或交接过程中受损或遗失导致本院不能按时履行义务的，本院对此不承担责任。</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2.样品因接受检测而被损坏，不能恢复原状，由此造成损失由委托方承担，如该样品的检测方法可采用无损检测的，委托方需在签定协议时进行明确</w:t>
      </w:r>
      <w:r>
        <w:rPr>
          <w:rFonts w:hint="eastAsia" w:ascii="黑体" w:eastAsia="黑体" w:hAnsiTheme="majorEastAsia"/>
          <w:color w:val="000000" w:themeColor="text1"/>
          <w:sz w:val="18"/>
          <w:szCs w:val="18"/>
          <w14:textFill>
            <w14:solidFill>
              <w14:schemeClr w14:val="tx1"/>
            </w14:solidFill>
          </w14:textFill>
        </w:rPr>
        <w:t>，并得到本院同意</w:t>
      </w:r>
      <w:r>
        <w:rPr>
          <w:rFonts w:hint="eastAsia" w:ascii="黑体" w:hAnsi="宋体" w:eastAsia="黑体"/>
          <w:color w:val="000000"/>
          <w:sz w:val="18"/>
          <w:szCs w:val="18"/>
        </w:rPr>
        <w:t>。</w:t>
      </w:r>
    </w:p>
    <w:p>
      <w:pPr>
        <w:ind w:left="-141" w:leftChars="-67" w:firstLine="424" w:firstLineChars="236"/>
        <w:rPr>
          <w:rFonts w:ascii="黑体" w:hAnsi="宋体" w:eastAsia="黑体"/>
          <w:color w:val="000000"/>
          <w:sz w:val="18"/>
          <w:szCs w:val="18"/>
        </w:rPr>
      </w:pPr>
      <w:r>
        <w:rPr>
          <w:rFonts w:hint="eastAsia" w:ascii="黑体" w:hAnsi="宋体" w:eastAsia="黑体"/>
          <w:color w:val="000000"/>
          <w:sz w:val="18"/>
          <w:szCs w:val="18"/>
        </w:rPr>
        <w:t>3.如果样品检毕后需要退还，委托方需要在协议书上样品处理栏勾选“自取”或由本院代寄，运费到付，本院将在报告书出具后，退还检毕样品。危险品、贵重物品不予代办邮寄和托运。</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hAnsi="宋体" w:eastAsia="黑体"/>
          <w:color w:val="000000"/>
          <w:sz w:val="18"/>
          <w:szCs w:val="18"/>
        </w:rPr>
        <w:t>4.委托方送来的检测样品属于</w:t>
      </w:r>
      <w:r>
        <w:rPr>
          <w:rFonts w:hint="eastAsia" w:ascii="黑体" w:eastAsia="黑体" w:hAnsiTheme="majorEastAsia"/>
          <w:color w:val="000000" w:themeColor="text1"/>
          <w:sz w:val="18"/>
          <w:szCs w:val="18"/>
          <w14:textFill>
            <w14:solidFill>
              <w14:schemeClr w14:val="tx1"/>
            </w14:solidFill>
          </w14:textFill>
        </w:rPr>
        <w:t>具有放射性、生物危害性、</w:t>
      </w:r>
      <w:r>
        <w:rPr>
          <w:rFonts w:hint="eastAsia" w:ascii="黑体" w:hAnsi="宋体" w:eastAsia="黑体"/>
          <w:color w:val="000000"/>
          <w:sz w:val="18"/>
          <w:szCs w:val="18"/>
        </w:rPr>
        <w:t>易燃、易爆、易腐蚀品的，应在交接给本院时确保包装安全，并有警示文字或标记，有特殊储存条件要求的样品，由委托方在交付样品时书面声明。</w:t>
      </w:r>
      <w:r>
        <w:rPr>
          <w:rFonts w:hint="eastAsia" w:ascii="黑体" w:eastAsia="黑体" w:hAnsiTheme="majorEastAsia"/>
          <w:color w:val="000000" w:themeColor="text1"/>
          <w:sz w:val="18"/>
          <w:szCs w:val="18"/>
          <w14:textFill>
            <w14:solidFill>
              <w14:schemeClr w14:val="tx1"/>
            </w14:solidFill>
          </w14:textFill>
        </w:rPr>
        <w:t xml:space="preserve">因委托方样品的危险性未提前告知并妥善处理，而给本院及其检测或其他人员造成损害的，委托方应承担赔偿责任。针对具有传染病传播可能的样品，按业务实际需求，由实验室提出安全要求。 </w:t>
      </w:r>
    </w:p>
    <w:p>
      <w:pPr>
        <w:ind w:left="-141" w:leftChars="-67" w:firstLine="424" w:firstLineChars="236"/>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5.本院收到委托方提供的样品和资料后，应当及时进行检查，如发现样品有误、样品量不足、样品损坏，或缺少必要资料的（可能影响结果的准确性、结果判定的情况），应及时告知委托方补充合格的样品或资料，检测服务周期自本院收到补充的样品或资料起重新计算。</w:t>
      </w:r>
    </w:p>
    <w:p>
      <w:pPr>
        <w:numPr>
          <w:ilvl w:val="255"/>
          <w:numId w:val="0"/>
        </w:numPr>
        <w:ind w:left="355" w:leftChars="169"/>
        <w:rPr>
          <w:rFonts w:ascii="黑体" w:hAnsi="宋体" w:eastAsia="黑体"/>
          <w:color w:val="000000"/>
          <w:sz w:val="18"/>
          <w:szCs w:val="18"/>
        </w:rPr>
      </w:pPr>
      <w:r>
        <w:rPr>
          <w:rFonts w:hint="eastAsia" w:ascii="黑体" w:eastAsia="黑体" w:hAnsiTheme="majorEastAsia"/>
          <w:color w:val="000000" w:themeColor="text1"/>
          <w:sz w:val="18"/>
          <w:szCs w:val="18"/>
          <w14:textFill>
            <w14:solidFill>
              <w14:schemeClr w14:val="tx1"/>
            </w14:solidFill>
          </w14:textFill>
        </w:rPr>
        <w:t>6，</w:t>
      </w:r>
      <w:r>
        <w:rPr>
          <w:rFonts w:ascii="黑体" w:eastAsia="黑体" w:hAnsiTheme="majorEastAsia"/>
          <w:color w:val="000000" w:themeColor="text1"/>
          <w:sz w:val="18"/>
          <w:szCs w:val="18"/>
          <w14:textFill>
            <w14:solidFill>
              <w14:schemeClr w14:val="tx1"/>
            </w14:solidFill>
          </w14:textFill>
        </w:rPr>
        <w:t>样品处理栏勾选“自取”</w:t>
      </w:r>
      <w:r>
        <w:rPr>
          <w:rFonts w:hint="eastAsia" w:ascii="黑体" w:eastAsia="黑体" w:hAnsiTheme="majorEastAsia"/>
          <w:color w:val="000000" w:themeColor="text1"/>
          <w:sz w:val="18"/>
          <w:szCs w:val="18"/>
          <w14:textFill>
            <w14:solidFill>
              <w14:schemeClr w14:val="tx1"/>
            </w14:solidFill>
          </w14:textFill>
        </w:rPr>
        <w:t>的</w:t>
      </w:r>
      <w:r>
        <w:rPr>
          <w:rFonts w:hint="eastAsia" w:ascii="黑体" w:hAnsi="宋体" w:eastAsia="黑体"/>
          <w:color w:val="000000"/>
          <w:sz w:val="18"/>
          <w:szCs w:val="18"/>
        </w:rPr>
        <w:t>检毕样品，需在检测报告签发后</w:t>
      </w:r>
      <w:r>
        <w:rPr>
          <w:rFonts w:ascii="黑体" w:hAnsi="宋体" w:eastAsia="黑体"/>
          <w:color w:val="000000"/>
          <w:sz w:val="18"/>
          <w:szCs w:val="18"/>
        </w:rPr>
        <w:t>15</w:t>
      </w:r>
      <w:r>
        <w:rPr>
          <w:rFonts w:hint="eastAsia" w:ascii="黑体" w:hAnsi="宋体" w:eastAsia="黑体"/>
          <w:color w:val="000000"/>
          <w:sz w:val="18"/>
          <w:szCs w:val="18"/>
        </w:rPr>
        <w:t>日内取回</w:t>
      </w:r>
      <w:r>
        <w:rPr>
          <w:rFonts w:hint="eastAsia" w:ascii="黑体" w:eastAsia="黑体" w:hAnsiTheme="majorEastAsia"/>
          <w:color w:val="000000" w:themeColor="text1"/>
          <w:sz w:val="18"/>
          <w:szCs w:val="18"/>
          <w14:textFill>
            <w14:solidFill>
              <w14:schemeClr w14:val="tx1"/>
            </w14:solidFill>
          </w14:textFill>
        </w:rPr>
        <w:t>检毕样品</w:t>
      </w:r>
      <w:r>
        <w:rPr>
          <w:rFonts w:hint="eastAsia" w:ascii="黑体" w:hAnsi="宋体" w:eastAsia="黑体"/>
          <w:color w:val="000000"/>
          <w:sz w:val="18"/>
          <w:szCs w:val="18"/>
        </w:rPr>
        <w:t>，否则视为授权本院进行销毁。</w:t>
      </w:r>
    </w:p>
    <w:p>
      <w:pPr>
        <w:ind w:left="355" w:leftChars="169"/>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7.本院有权对逾期不取的样品视情况征收样品保管费用。</w:t>
      </w:r>
    </w:p>
    <w:p>
      <w:pPr>
        <w:ind w:firstLine="89" w:firstLineChars="49"/>
        <w:rPr>
          <w:rFonts w:ascii="黑体" w:hAnsi="宋体" w:eastAsia="黑体"/>
          <w:b/>
          <w:color w:val="000000"/>
          <w:sz w:val="18"/>
          <w:szCs w:val="18"/>
        </w:rPr>
      </w:pPr>
      <w:r>
        <w:rPr>
          <w:rFonts w:hint="eastAsia" w:ascii="黑体" w:hAnsi="宋体" w:eastAsia="黑体"/>
          <w:b/>
          <w:color w:val="000000"/>
          <w:sz w:val="18"/>
          <w:szCs w:val="18"/>
        </w:rPr>
        <w:t>四、复检</w:t>
      </w:r>
    </w:p>
    <w:p>
      <w:pPr>
        <w:ind w:left="-199" w:leftChars="-95" w:firstLine="417" w:firstLineChars="232"/>
        <w:rPr>
          <w:rFonts w:ascii="黑体" w:hAnsi="宋体" w:eastAsia="黑体"/>
          <w:color w:val="000000"/>
          <w:sz w:val="18"/>
          <w:szCs w:val="18"/>
        </w:rPr>
      </w:pPr>
      <w:r>
        <w:rPr>
          <w:rFonts w:hint="eastAsia" w:ascii="黑体" w:eastAsia="黑体" w:hAnsiTheme="majorEastAsia"/>
          <w:color w:val="000000" w:themeColor="text1"/>
          <w:sz w:val="18"/>
          <w:szCs w:val="18"/>
          <w14:textFill>
            <w14:solidFill>
              <w14:schemeClr w14:val="tx1"/>
            </w14:solidFill>
          </w14:textFill>
        </w:rPr>
        <w:t>委托方</w:t>
      </w:r>
      <w:r>
        <w:rPr>
          <w:rFonts w:ascii="黑体" w:eastAsia="黑体" w:hAnsiTheme="majorEastAsia"/>
          <w:color w:val="000000" w:themeColor="text1"/>
          <w:sz w:val="18"/>
          <w:szCs w:val="18"/>
          <w14:textFill>
            <w14:solidFill>
              <w14:schemeClr w14:val="tx1"/>
            </w14:solidFill>
          </w14:textFill>
        </w:rPr>
        <w:t>对检测的结果有异议的，应于检测报告</w:t>
      </w:r>
      <w:r>
        <w:rPr>
          <w:rFonts w:hint="eastAsia" w:ascii="黑体" w:eastAsia="黑体" w:hAnsiTheme="majorEastAsia"/>
          <w:color w:val="000000" w:themeColor="text1"/>
          <w:sz w:val="18"/>
          <w:szCs w:val="18"/>
          <w14:textFill>
            <w14:solidFill>
              <w14:schemeClr w14:val="tx1"/>
            </w14:solidFill>
          </w14:textFill>
        </w:rPr>
        <w:t>签发</w:t>
      </w:r>
      <w:r>
        <w:rPr>
          <w:rFonts w:ascii="黑体" w:eastAsia="黑体" w:hAnsiTheme="majorEastAsia"/>
          <w:color w:val="000000" w:themeColor="text1"/>
          <w:sz w:val="18"/>
          <w:szCs w:val="18"/>
          <w14:textFill>
            <w14:solidFill>
              <w14:schemeClr w14:val="tx1"/>
            </w14:solidFill>
          </w14:textFill>
        </w:rPr>
        <w:t>之日起</w:t>
      </w:r>
      <w:r>
        <w:rPr>
          <w:rFonts w:hint="eastAsia" w:ascii="黑体" w:eastAsia="黑体" w:hAnsiTheme="majorEastAsia"/>
          <w:color w:val="000000" w:themeColor="text1"/>
          <w:sz w:val="18"/>
          <w:szCs w:val="18"/>
          <w14:textFill>
            <w14:solidFill>
              <w14:schemeClr w14:val="tx1"/>
            </w14:solidFill>
          </w14:textFill>
        </w:rPr>
        <w:t>15</w:t>
      </w:r>
      <w:r>
        <w:rPr>
          <w:rFonts w:ascii="黑体" w:eastAsia="黑体" w:hAnsiTheme="majorEastAsia"/>
          <w:color w:val="000000" w:themeColor="text1"/>
          <w:sz w:val="18"/>
          <w:szCs w:val="18"/>
          <w14:textFill>
            <w14:solidFill>
              <w14:schemeClr w14:val="tx1"/>
            </w14:solidFill>
          </w14:textFill>
        </w:rPr>
        <w:t>日内向</w:t>
      </w:r>
      <w:r>
        <w:rPr>
          <w:rFonts w:hint="eastAsia" w:ascii="黑体" w:eastAsia="黑体" w:hAnsiTheme="majorEastAsia"/>
          <w:color w:val="000000" w:themeColor="text1"/>
          <w:sz w:val="18"/>
          <w:szCs w:val="18"/>
          <w14:textFill>
            <w14:solidFill>
              <w14:schemeClr w14:val="tx1"/>
            </w14:solidFill>
          </w14:textFill>
        </w:rPr>
        <w:t>本院</w:t>
      </w:r>
      <w:r>
        <w:rPr>
          <w:rFonts w:ascii="黑体" w:eastAsia="黑体" w:hAnsiTheme="majorEastAsia"/>
          <w:color w:val="000000" w:themeColor="text1"/>
          <w:sz w:val="18"/>
          <w:szCs w:val="18"/>
          <w14:textFill>
            <w14:solidFill>
              <w14:schemeClr w14:val="tx1"/>
            </w14:solidFill>
          </w14:textFill>
        </w:rPr>
        <w:t>书面提出</w:t>
      </w:r>
      <w:r>
        <w:rPr>
          <w:rFonts w:ascii="黑体" w:eastAsia="黑体" w:hAnsiTheme="majorEastAsia"/>
          <w:sz w:val="18"/>
          <w:szCs w:val="18"/>
        </w:rPr>
        <w:t>，同时附上报告原件。逾期未提出异议的，视为同意检测结果。</w:t>
      </w:r>
      <w:r>
        <w:rPr>
          <w:rFonts w:hint="eastAsia" w:ascii="黑体" w:hAnsi="宋体" w:eastAsia="黑体"/>
          <w:color w:val="000000"/>
          <w:sz w:val="18"/>
          <w:szCs w:val="18"/>
        </w:rPr>
        <w:t>如委托方对检测结果有异议并提出复检要求时，本院仅限对原样品按原检测方法进行复检。复检费用由责任方承担。对下述情形，本院不受理复检：</w:t>
      </w:r>
      <w:r>
        <w:rPr>
          <w:rFonts w:ascii="黑体" w:hAnsi="宋体" w:eastAsia="黑体"/>
          <w:color w:val="000000"/>
          <w:sz w:val="18"/>
          <w:szCs w:val="18"/>
        </w:rPr>
        <w:t>(1)</w:t>
      </w:r>
      <w:r>
        <w:rPr>
          <w:rFonts w:hint="eastAsia" w:ascii="黑体" w:hAnsi="宋体" w:eastAsia="黑体"/>
          <w:color w:val="000000"/>
          <w:sz w:val="18"/>
          <w:szCs w:val="18"/>
        </w:rPr>
        <w:t>原样品已被客户取回；</w:t>
      </w:r>
      <w:r>
        <w:rPr>
          <w:rFonts w:ascii="黑体" w:hAnsi="宋体" w:eastAsia="黑体"/>
          <w:color w:val="000000"/>
          <w:sz w:val="18"/>
          <w:szCs w:val="18"/>
        </w:rPr>
        <w:t>(2)</w:t>
      </w:r>
      <w:r>
        <w:rPr>
          <w:rFonts w:hint="eastAsia" w:ascii="黑体" w:hAnsi="宋体" w:eastAsia="黑体"/>
          <w:color w:val="000000"/>
          <w:sz w:val="18"/>
          <w:szCs w:val="18"/>
        </w:rPr>
        <w:t>原样品无法保存；</w:t>
      </w:r>
      <w:r>
        <w:rPr>
          <w:rFonts w:ascii="黑体" w:hAnsi="宋体" w:eastAsia="黑体"/>
          <w:color w:val="000000"/>
          <w:sz w:val="18"/>
          <w:szCs w:val="18"/>
        </w:rPr>
        <w:t>(3)</w:t>
      </w:r>
      <w:r>
        <w:rPr>
          <w:rFonts w:hint="eastAsia" w:ascii="黑体" w:hAnsi="宋体" w:eastAsia="黑体"/>
          <w:color w:val="000000"/>
          <w:sz w:val="18"/>
          <w:szCs w:val="18"/>
        </w:rPr>
        <w:t>原样品已用完；</w:t>
      </w:r>
      <w:r>
        <w:rPr>
          <w:rFonts w:ascii="黑体" w:hAnsi="宋体" w:eastAsia="黑体"/>
          <w:color w:val="000000"/>
          <w:sz w:val="18"/>
          <w:szCs w:val="18"/>
        </w:rPr>
        <w:t>(4)</w:t>
      </w:r>
      <w:r>
        <w:rPr>
          <w:rFonts w:hint="eastAsia" w:ascii="黑体" w:hAnsi="宋体" w:eastAsia="黑体"/>
          <w:color w:val="000000"/>
          <w:sz w:val="18"/>
          <w:szCs w:val="18"/>
        </w:rPr>
        <w:t>原样品剩余太少不足以复检；</w:t>
      </w:r>
      <w:r>
        <w:rPr>
          <w:rFonts w:ascii="黑体" w:hAnsi="宋体" w:eastAsia="黑体"/>
          <w:color w:val="000000"/>
          <w:sz w:val="18"/>
          <w:szCs w:val="18"/>
        </w:rPr>
        <w:t>(5)</w:t>
      </w:r>
      <w:r>
        <w:rPr>
          <w:rFonts w:hint="eastAsia" w:ascii="黑体" w:hAnsi="宋体" w:eastAsia="黑体"/>
          <w:color w:val="000000"/>
          <w:sz w:val="18"/>
          <w:szCs w:val="18"/>
        </w:rPr>
        <w:t>原样品超过保存期限；</w:t>
      </w:r>
      <w:r>
        <w:rPr>
          <w:rFonts w:ascii="黑体" w:hAnsi="宋体" w:eastAsia="黑体"/>
          <w:color w:val="000000"/>
          <w:sz w:val="18"/>
          <w:szCs w:val="18"/>
        </w:rPr>
        <w:t>(6)</w:t>
      </w:r>
      <w:r>
        <w:rPr>
          <w:rFonts w:hint="eastAsia" w:ascii="黑体" w:hAnsi="宋体" w:eastAsia="黑体"/>
          <w:color w:val="000000"/>
          <w:sz w:val="18"/>
          <w:szCs w:val="18"/>
        </w:rPr>
        <w:t>原样品或其待测组分不稳定；</w:t>
      </w:r>
      <w:r>
        <w:rPr>
          <w:rFonts w:ascii="黑体" w:hAnsi="宋体" w:eastAsia="黑体"/>
          <w:color w:val="000000"/>
          <w:sz w:val="18"/>
          <w:szCs w:val="18"/>
        </w:rPr>
        <w:t>(7)</w:t>
      </w:r>
      <w:r>
        <w:rPr>
          <w:rFonts w:hint="eastAsia" w:ascii="黑体" w:hAnsi="宋体" w:eastAsia="黑体"/>
          <w:color w:val="000000"/>
          <w:sz w:val="18"/>
          <w:szCs w:val="18"/>
        </w:rPr>
        <w:t>微生物检测项目等不可重复检测的项目；（</w:t>
      </w:r>
      <w:r>
        <w:rPr>
          <w:rFonts w:ascii="黑体" w:hAnsi="宋体" w:eastAsia="黑体"/>
          <w:color w:val="000000"/>
          <w:sz w:val="18"/>
          <w:szCs w:val="18"/>
        </w:rPr>
        <w:t>8</w:t>
      </w:r>
      <w:r>
        <w:rPr>
          <w:rFonts w:hint="eastAsia" w:ascii="黑体" w:hAnsi="宋体" w:eastAsia="黑体"/>
          <w:color w:val="000000"/>
          <w:sz w:val="18"/>
          <w:szCs w:val="18"/>
        </w:rPr>
        <w:t>）其他依据法律法规规定或行业规定、行业习惯不应受理的情形。</w:t>
      </w:r>
    </w:p>
    <w:p>
      <w:pPr>
        <w:ind w:left="220" w:hanging="220" w:hangingChars="122"/>
        <w:rPr>
          <w:rFonts w:ascii="黑体" w:hAnsi="宋体" w:eastAsia="黑体"/>
          <w:b/>
          <w:color w:val="000000"/>
          <w:sz w:val="18"/>
          <w:szCs w:val="18"/>
        </w:rPr>
      </w:pPr>
      <w:r>
        <w:rPr>
          <w:rFonts w:hint="eastAsia" w:ascii="黑体" w:hAnsi="宋体" w:eastAsia="黑体"/>
          <w:b/>
          <w:color w:val="000000"/>
          <w:sz w:val="18"/>
          <w:szCs w:val="18"/>
        </w:rPr>
        <w:t>五、发票</w:t>
      </w:r>
    </w:p>
    <w:p>
      <w:pPr>
        <w:ind w:firstLine="219" w:firstLineChars="122"/>
        <w:rPr>
          <w:rFonts w:ascii="黑体" w:hAnsi="宋体" w:eastAsia="黑体"/>
          <w:color w:val="000000"/>
          <w:sz w:val="18"/>
          <w:szCs w:val="18"/>
        </w:rPr>
      </w:pPr>
      <w:r>
        <w:rPr>
          <w:rFonts w:hint="eastAsia" w:ascii="黑体" w:hAnsi="宋体" w:eastAsia="黑体"/>
          <w:color w:val="000000"/>
          <w:sz w:val="18"/>
          <w:szCs w:val="18"/>
        </w:rPr>
        <w:t>本院开具发票的名称须与实际汇款人名称一致，委托方在汇款时应注意此条款，由此造成的任何损失，本院不承担任何责任。</w:t>
      </w:r>
    </w:p>
    <w:p>
      <w:pPr>
        <w:numPr>
          <w:ilvl w:val="0"/>
          <w:numId w:val="1"/>
        </w:numPr>
        <w:rPr>
          <w:rFonts w:ascii="黑体" w:eastAsia="黑体" w:hAnsiTheme="majorEastAsia"/>
          <w:b/>
          <w:bCs/>
          <w:color w:val="000000" w:themeColor="text1"/>
          <w:sz w:val="18"/>
          <w:szCs w:val="18"/>
          <w14:textFill>
            <w14:solidFill>
              <w14:schemeClr w14:val="tx1"/>
            </w14:solidFill>
          </w14:textFill>
        </w:rPr>
      </w:pPr>
      <w:r>
        <w:rPr>
          <w:rFonts w:hint="eastAsia" w:ascii="黑体" w:eastAsia="黑体" w:hAnsiTheme="majorEastAsia"/>
          <w:b/>
          <w:bCs/>
          <w:color w:val="000000" w:themeColor="text1"/>
          <w:sz w:val="18"/>
          <w:szCs w:val="18"/>
          <w14:textFill>
            <w14:solidFill>
              <w14:schemeClr w14:val="tx1"/>
            </w14:solidFill>
          </w14:textFill>
        </w:rPr>
        <w:t>保密义务</w:t>
      </w:r>
    </w:p>
    <w:p>
      <w:pPr>
        <w:numPr>
          <w:ilvl w:val="255"/>
          <w:numId w:val="0"/>
        </w:numPr>
        <w:ind w:firstLine="419" w:firstLineChars="233"/>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1.委托方承诺对本院的技术情报和资料、非正式出版物、知识产权等承担保密义务，本院承诺对委托方的资料、知识产权、环境状况、产品技术、生产工艺等承担保密义务。</w:t>
      </w:r>
    </w:p>
    <w:p>
      <w:pPr>
        <w:numPr>
          <w:ilvl w:val="255"/>
          <w:numId w:val="0"/>
        </w:numPr>
        <w:ind w:firstLine="419" w:firstLineChars="233"/>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2.服务过程中一方向对方所披露的任何商业机密,包括合作范围、内容、合作模式、费用等信息，接收方不得向任何第三方（第一点第4条涉及的分包单位除外）披露，并保证在提供服务过程中获悉该商业机密的员工有相同的义务。</w:t>
      </w:r>
    </w:p>
    <w:p>
      <w:pPr>
        <w:numPr>
          <w:ilvl w:val="255"/>
          <w:numId w:val="0"/>
        </w:numPr>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b/>
          <w:bCs/>
          <w:color w:val="000000" w:themeColor="text1"/>
          <w:sz w:val="18"/>
          <w:szCs w:val="18"/>
          <w14:textFill>
            <w14:solidFill>
              <w14:schemeClr w14:val="tx1"/>
            </w14:solidFill>
          </w14:textFill>
        </w:rPr>
        <w:t>七</w:t>
      </w:r>
      <w:r>
        <w:rPr>
          <w:rFonts w:hint="eastAsia" w:ascii="黑体" w:eastAsia="黑体" w:hAnsiTheme="majorEastAsia"/>
          <w:color w:val="000000" w:themeColor="text1"/>
          <w:sz w:val="18"/>
          <w:szCs w:val="18"/>
          <w14:textFill>
            <w14:solidFill>
              <w14:schemeClr w14:val="tx1"/>
            </w14:solidFill>
          </w14:textFill>
        </w:rPr>
        <w:t>、</w:t>
      </w:r>
      <w:r>
        <w:rPr>
          <w:rFonts w:hint="eastAsia" w:ascii="黑体" w:eastAsia="黑体" w:hAnsiTheme="majorEastAsia"/>
          <w:b/>
          <w:bCs/>
          <w:color w:val="000000" w:themeColor="text1"/>
          <w:sz w:val="18"/>
          <w:szCs w:val="18"/>
          <w14:textFill>
            <w14:solidFill>
              <w14:schemeClr w14:val="tx1"/>
            </w14:solidFill>
          </w14:textFill>
        </w:rPr>
        <w:t>适用法律</w:t>
      </w:r>
    </w:p>
    <w:p>
      <w:pPr>
        <w:numPr>
          <w:ilvl w:val="255"/>
          <w:numId w:val="0"/>
        </w:numPr>
        <w:ind w:firstLine="360" w:firstLineChars="200"/>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1.双方权利义务调整及争议解决方式，均应适用中华人民共和国的法律。</w:t>
      </w:r>
    </w:p>
    <w:p>
      <w:pPr>
        <w:numPr>
          <w:ilvl w:val="255"/>
          <w:numId w:val="0"/>
        </w:numPr>
        <w:ind w:firstLine="360" w:firstLineChars="200"/>
        <w:rPr>
          <w:rFonts w:ascii="黑体" w:eastAsia="黑体" w:hAnsiTheme="majorEastAsia"/>
          <w:color w:val="000000" w:themeColor="text1"/>
          <w:sz w:val="18"/>
          <w:szCs w:val="18"/>
          <w14:textFill>
            <w14:solidFill>
              <w14:schemeClr w14:val="tx1"/>
            </w14:solidFill>
          </w14:textFill>
        </w:rPr>
      </w:pPr>
      <w:r>
        <w:rPr>
          <w:rFonts w:hint="eastAsia" w:ascii="黑体" w:eastAsia="黑体" w:hAnsiTheme="majorEastAsia"/>
          <w:color w:val="000000" w:themeColor="text1"/>
          <w:sz w:val="18"/>
          <w:szCs w:val="18"/>
          <w14:textFill>
            <w14:solidFill>
              <w14:schemeClr w14:val="tx1"/>
            </w14:solidFill>
          </w14:textFill>
        </w:rPr>
        <w:t>2.双方发生争议的应协商解决，协商不成的，任何一方均有权向本院所在地人民法院提交起诉。</w:t>
      </w:r>
    </w:p>
    <w:p>
      <w:pPr>
        <w:rPr>
          <w:rFonts w:ascii="黑体" w:hAnsi="宋体" w:eastAsia="黑体"/>
          <w:color w:val="000000"/>
          <w:sz w:val="18"/>
          <w:szCs w:val="18"/>
        </w:rPr>
      </w:pPr>
    </w:p>
    <w:p>
      <w:pPr>
        <w:spacing w:line="20" w:lineRule="exact"/>
      </w:pPr>
    </w:p>
    <w:p>
      <w:pPr>
        <w:spacing w:line="20" w:lineRule="exact"/>
      </w:pPr>
    </w:p>
    <w:p>
      <w:pPr>
        <w:spacing w:line="20" w:lineRule="exact"/>
      </w:pPr>
    </w:p>
    <w:p>
      <w:pPr>
        <w:spacing w:line="20" w:lineRule="exact"/>
      </w:pPr>
    </w:p>
    <w:p>
      <w:pPr>
        <w:spacing w:line="20" w:lineRule="exact"/>
      </w:pPr>
    </w:p>
    <w:p>
      <w:r>
        <w:br w:type="page"/>
      </w:r>
    </w:p>
    <w:p>
      <w:pPr>
        <w:spacing w:line="360" w:lineRule="exact"/>
        <w:ind w:firstLine="840" w:firstLineChars="300"/>
        <w:rPr>
          <w:rFonts w:ascii="黑体" w:eastAsia="黑体"/>
          <w:sz w:val="28"/>
          <w:szCs w:val="28"/>
        </w:rPr>
      </w:pPr>
      <w:r>
        <w:rPr>
          <w:rFonts w:ascii="黑体"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5161915</wp:posOffset>
                </wp:positionH>
                <wp:positionV relativeFrom="paragraph">
                  <wp:posOffset>198120</wp:posOffset>
                </wp:positionV>
                <wp:extent cx="1371600" cy="28765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371600" cy="287655"/>
                        </a:xfrm>
                        <a:prstGeom prst="rect">
                          <a:avLst/>
                        </a:prstGeom>
                        <a:noFill/>
                        <a:ln>
                          <a:noFill/>
                        </a:ln>
                      </wps:spPr>
                      <wps:txbx>
                        <w:txbxContent>
                          <w:p>
                            <w:r>
                              <w:rPr>
                                <w:rFonts w:hint="eastAsia"/>
                              </w:rPr>
                              <w:t>编号：</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06.45pt;margin-top:15.6pt;height:22.65pt;width:108pt;z-index:251661312;mso-width-relative:page;mso-height-relative:page;" filled="f" stroked="f" coordsize="21600,21600" o:gfxdata="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rakNgAAAAKAQAADwAAAAAAAAABACAAAAAiAAAA&#10;ZHJzL2Rvd25yZXYueG1sUEsBAhQAFAAAAAgAh07iQEjOPQ4HAgAAFAQAAA4AAAAAAAAAAQAgAAAA&#10;JwEAAGRycy9lMm9Eb2MueG1sUEsFBgAAAAAGAAYAWQEAAKAFAAAAAA==&#10;">
                <v:fill on="f" focussize="0,0"/>
                <v:stroke on="f"/>
                <v:imagedata o:title=""/>
                <o:lock v:ext="edit" aspectratio="f"/>
                <v:textbox>
                  <w:txbxContent>
                    <w:p>
                      <w:r>
                        <w:rPr>
                          <w:rFonts w:hint="eastAsia"/>
                        </w:rPr>
                        <w:t>编号：</w:t>
                      </w:r>
                    </w:p>
                  </w:txbxContent>
                </v:textbox>
              </v:shape>
            </w:pict>
          </mc:Fallback>
        </mc:AlternateContent>
      </w:r>
      <w:r>
        <w:rPr>
          <w:rFonts w:hint="eastAsia" w:ascii="黑体" w:eastAsia="黑体"/>
          <w:sz w:val="28"/>
          <w:szCs w:val="28"/>
        </w:rPr>
        <w:t>广东产品质量监督检验研究院 皮具、箱包及鞋类产品检测协议书</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b/>
          <w:color w:val="000000"/>
          <w:sz w:val="24"/>
        </w:rPr>
        <w:t>附件2： 协议书备注页</w:t>
      </w:r>
      <w:r>
        <w:rPr>
          <w:rFonts w:hint="eastAsia"/>
          <w:color w:val="000000" w:themeColor="text1"/>
          <w:sz w:val="18"/>
          <w:szCs w:val="18"/>
          <w14:textFill>
            <w14:solidFill>
              <w14:schemeClr w14:val="tx1"/>
            </w14:solidFill>
          </w14:textFill>
        </w:rPr>
        <w:t>（当协议书增加备注页时，备注页是协议书的组成部分，与协议书一同保存）</w:t>
      </w:r>
    </w:p>
    <w:p>
      <w:pPr>
        <w:jc w:val="left"/>
        <w:rPr>
          <w:rFonts w:ascii="宋体" w:hAnsi="宋体" w:cs="方正仿宋简体"/>
          <w:b/>
          <w:bCs/>
          <w:color w:val="000000"/>
          <w:sz w:val="24"/>
        </w:rPr>
      </w:pPr>
      <w:r>
        <w:rPr>
          <w:rFonts w:hint="eastAsia" w:ascii="宋体" w:hAnsi="宋体"/>
          <w:color w:val="000000" w:themeColor="text1"/>
          <w:szCs w:val="21"/>
          <w14:textFill>
            <w14:solidFill>
              <w14:schemeClr w14:val="tx1"/>
            </w14:solidFill>
          </w14:textFill>
        </w:rPr>
        <w:t>说明：以下内容为编号</w:t>
      </w:r>
      <w:r>
        <w:rPr>
          <w:color w:val="000000" w:themeColor="text1"/>
          <w:sz w:val="15"/>
          <w:szCs w:val="15"/>
          <w14:textFill>
            <w14:solidFill>
              <w14:schemeClr w14:val="tx1"/>
            </w14:solidFill>
          </w14:textFill>
        </w:rPr>
        <w:t xml:space="preserve">_________ </w:t>
      </w:r>
      <w:r>
        <w:rPr>
          <w:rFonts w:hint="eastAsia" w:ascii="宋体" w:hAnsi="宋体"/>
          <w:color w:val="000000" w:themeColor="text1"/>
          <w:szCs w:val="21"/>
          <w14:textFill>
            <w14:solidFill>
              <w14:schemeClr w14:val="tx1"/>
            </w14:solidFill>
          </w14:textFill>
        </w:rPr>
        <w:t>的协议书的备注内容，备注内容是对协议书的补充约定，与协议书内容不存在矛盾，当发现有不一致的地方，应与委托方重新确认并进行记录。</w:t>
      </w:r>
    </w:p>
    <w:p>
      <w:pPr>
        <w:jc w:val="center"/>
        <w:rPr>
          <w:color w:val="000000" w:themeColor="text1"/>
          <w14:textFill>
            <w14:solidFill>
              <w14:schemeClr w14:val="tx1"/>
            </w14:solidFill>
          </w14:textFill>
        </w:rPr>
      </w:pPr>
      <w:r>
        <w:rPr>
          <w:rFonts w:hint="eastAsia" w:ascii="宋体" w:hAnsi="宋体" w:cs="方正仿宋简体"/>
          <w:b/>
          <w:bCs/>
          <w:color w:val="000000"/>
          <w:sz w:val="24"/>
        </w:rPr>
        <w:t>检测依据及判定依据</w:t>
      </w:r>
    </w:p>
    <w:tbl>
      <w:tblPr>
        <w:tblStyle w:val="5"/>
        <w:tblpPr w:leftFromText="180" w:rightFromText="180" w:vertAnchor="text" w:horzAnchor="page" w:tblpX="849" w:tblpY="62"/>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45"/>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trPr>
        <w:tc>
          <w:tcPr>
            <w:tcW w:w="1945" w:type="dxa"/>
            <w:shd w:val="clear" w:color="auto" w:fill="DBEEF3" w:themeFill="accent5" w:themeFillTint="32"/>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类型</w:t>
            </w:r>
          </w:p>
        </w:tc>
        <w:tc>
          <w:tcPr>
            <w:tcW w:w="8014" w:type="dxa"/>
            <w:shd w:val="clear" w:color="auto" w:fill="DBEEF3" w:themeFill="accent5" w:themeFillTint="32"/>
            <w:vAlign w:val="center"/>
          </w:tcPr>
          <w:p>
            <w:pPr>
              <w:widowControl/>
              <w:autoSpaceDE w:val="0"/>
              <w:autoSpaceDN w:val="0"/>
              <w:jc w:val="center"/>
              <w:textAlignment w:val="center"/>
              <w:rPr>
                <w:rFonts w:ascii="宋体" w:hAnsi="宋体" w:cs="方正仿宋简体" w:eastAsiaTheme="minorEastAsia"/>
                <w:b/>
                <w:bCs/>
                <w:color w:val="000000" w:themeColor="text1"/>
                <w:sz w:val="24"/>
                <w14:textFill>
                  <w14:solidFill>
                    <w14:schemeClr w14:val="tx1"/>
                  </w14:solidFill>
                </w14:textFill>
              </w:rPr>
            </w:pPr>
            <w:r>
              <w:rPr>
                <w:rFonts w:hint="eastAsia" w:ascii="宋体" w:hAnsi="宋体" w:cs="方正仿宋简体"/>
                <w:b/>
                <w:bCs/>
                <w:color w:val="000000" w:themeColor="text1"/>
                <w:sz w:val="24"/>
                <w14:textFill>
                  <w14:solidFill>
                    <w14:schemeClr w14:val="tx1"/>
                  </w14:solidFill>
                </w14:textFill>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强制性安全标准</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 20400-2006《皮革和毛皮 有害物质限量》□A类 □B类 □C类</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 30585-2014 《儿童鞋安全技术规范》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8"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鞋类</w:t>
            </w:r>
          </w:p>
        </w:tc>
        <w:tc>
          <w:tcPr>
            <w:tcW w:w="8014" w:type="dxa"/>
            <w:shd w:val="clear" w:color="auto" w:fill="auto"/>
            <w:vAlign w:val="center"/>
          </w:tcPr>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1002-2015《皮鞋》                     □QB/T 2880-2016《儿童皮鞋》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22756-2017《皮凉鞋》                  □QB/T 4546-2013 《儿童皮凉鞋》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15107-2013《旅游鞋》                  □QB/T 4331-2012 《儿童旅游鞋》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2955-2017《休闲鞋》                   □HG/T 3084-2010 《注塑鞋》               </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28011-2011 《鞋类钢勾心》             □GB/T 19706-2015 《足球鞋》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□HG/T 3086-2011《橡塑凉拖鞋》               □GB 20096-2006 《轮滑鞋》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□HG/T 2017-2011 《普通运动鞋》              □QB/T 4556-2013 《雪地靴》</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□HG/T 2018-2014 《轻便胶鞋》                □HG/T 2495-2007 《劳动鞋》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□HG/T 2019-2011 《黑色雨靴(鞋)》            □QB/T 1653-1992 《聚氯乙烯塑料凉鞋、拖鞋》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□HG/T 2020-2011 《彩色雨靴(鞋)》            □HG/T 3086-2011 《橡塑、凉拖鞋》              </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□HG/T 3086-2011 《橡塑、凉拖鞋》            □GB/T 3807-1994 《聚氯乙烯微孔塑料拖鞋》</w:t>
            </w:r>
          </w:p>
          <w:p>
            <w:pPr>
              <w:spacing w:line="32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33313-2016 《儿童雨靴（鞋）》          □QB/T 4552-2013 《拖鞋》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箱包皮具</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1333-2018《背提包》                    □QB/T 1618-2018《皮腰带》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2155-2018《旅行箱包》                  □QB/T 1619-2018《票夹》</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2277-1996《公事包》                    □QB/T 5087-2017 《箱包用皮革》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2858-2007 《学生书袋》                 □QB/T 5243-2018《手包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0"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皮革</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□ISO 17131：2012 《皮革--用显微镜鉴定皮革》</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□GB/T 30695-2014 《聚氯乙烯、聚氨酯人造革（合成革）材质鉴别方法》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38408-2019 《皮革 材质鉴别 显微镜法》  □QB/T 2536-2007 《毛革》</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□GB/T 38416-2019 《毛皮 材质鉴别 显微镜法》  □GB/T 16799-2018 《家具用皮革》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1873-2010《鞋面用皮革》                □GB/T 8948-2008 《聚氯乙烯人造革》</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2001-1994《鞋底用皮革》                □QB/T 4194-2011 《汽车用聚氨酯合成革》</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2680-2004《鞋里用皮革》                □QB/T 4195-2011 《运动鞋用聚氨酯合成革》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伞类</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23147-2018 《晴雨伞》                  □FZ/T 43024-2013 《伞用织物》</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□GB/T 23103-2018 《太阳伞》                  □GB 28477-2012 《儿童伞安全技术要求》</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 31892-2015 《伞类产品安全通用技术要求》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7"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劳保产品</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□GB 2811-2019 《头部防护 安全帽》        □GB/T 18843-2002 《浸塑手套》</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 21146-2007 《个体防护装备 职业鞋》   □GB/T 17622-2008 《带电作业用绝缘手套》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 21147-2007 《个体防护装备 防护鞋》   □AQ 6102-2007 《耐酸(碱)手套》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 21148-2020 《足部防护安全鞋》      □GB 24540-2009 《防护服装  酸碱类化学品防护服》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□GB/T 23464-2009 《防护服装 防静电毛针织服》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6" w:hRule="atLeast"/>
        </w:trPr>
        <w:tc>
          <w:tcPr>
            <w:tcW w:w="1945" w:type="dxa"/>
            <w:shd w:val="clear" w:color="auto" w:fill="DBEEF3" w:themeFill="accent5" w:themeFillTint="32"/>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其他</w:t>
            </w:r>
          </w:p>
        </w:tc>
        <w:tc>
          <w:tcPr>
            <w:tcW w:w="8014" w:type="dxa"/>
            <w:shd w:val="clear" w:color="auto" w:fill="auto"/>
            <w:vAlign w:val="center"/>
          </w:tcPr>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2171-2014 《金属拉链》                □GB/T 24454-2009 《塑料垃圾袋》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□QB/T 2172-2014 《注塑拉链》                □GB/T 24984-2010 《日用塑料袋》               </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2173-2014 《尼龙拉链》                □GB/T 21661-2008 《塑料购物袋》</w:t>
            </w:r>
          </w:p>
          <w:p>
            <w:pPr>
              <w:spacing w:line="2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□QB/T 1616-2005 《运动手套》                □QB/T 1584-2018 《日用皮手套》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3" w:hRule="atLeast"/>
        </w:trPr>
        <w:tc>
          <w:tcPr>
            <w:tcW w:w="9959" w:type="dxa"/>
            <w:gridSpan w:val="2"/>
            <w:shd w:val="clear" w:color="auto" w:fill="DBEEF3" w:themeFill="accent5" w:themeFillTint="32"/>
            <w:vAlign w:val="center"/>
          </w:tcPr>
          <w:p>
            <w:pPr>
              <w:pStyle w:val="4"/>
              <w:pBdr>
                <w:bottom w:val="none" w:color="auto" w:sz="0" w:space="0"/>
              </w:pBdr>
              <w:adjustRightInd w:val="0"/>
              <w:spacing w:line="240" w:lineRule="atLeast"/>
              <w:ind w:firstLine="210" w:firstLineChars="1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我方确认本协议书该备注页所填信息准确、真实，对所提供的一切资料、样品信息及其生产方等相关信息的真实性负责，同意按此协议内容及</w:t>
            </w:r>
            <w:r>
              <w:rPr>
                <w:color w:val="000000" w:themeColor="text1"/>
                <w:sz w:val="21"/>
                <w:szCs w:val="21"/>
                <w14:textFill>
                  <w14:solidFill>
                    <w14:schemeClr w14:val="tx1"/>
                  </w14:solidFill>
                </w14:textFill>
              </w:rPr>
              <w:t>GQI</w:t>
            </w:r>
            <w:r>
              <w:rPr>
                <w:rFonts w:hint="eastAsia"/>
                <w:color w:val="000000" w:themeColor="text1"/>
                <w:sz w:val="21"/>
                <w:szCs w:val="21"/>
                <w14:textFill>
                  <w14:solidFill>
                    <w14:schemeClr w14:val="tx1"/>
                  </w14:solidFill>
                </w14:textFill>
              </w:rPr>
              <w:t>委托检测服务条款要求进行检测，并按时缴纳检测费及提供必要的合作。</w:t>
            </w:r>
          </w:p>
          <w:p>
            <w:pPr>
              <w:spacing w:line="216" w:lineRule="auto"/>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委托方授权代表（委托人）正楷签名：</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年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月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trPr>
        <w:tc>
          <w:tcPr>
            <w:tcW w:w="9959" w:type="dxa"/>
            <w:gridSpan w:val="2"/>
            <w:shd w:val="clear" w:color="auto" w:fill="DBEEF3" w:themeFill="accent5" w:themeFillTint="32"/>
            <w:vAlign w:val="center"/>
          </w:tcPr>
          <w:p>
            <w:pPr>
              <w:pStyle w:val="4"/>
              <w:pBdr>
                <w:bottom w:val="none" w:color="auto" w:sz="0" w:space="0"/>
              </w:pBdr>
              <w:adjustRightInd w:val="0"/>
              <w:spacing w:line="240" w:lineRule="atLeast"/>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业务受理员核对该页内容后签名：____________</w:t>
            </w:r>
            <w:r>
              <w:rPr>
                <w:rFonts w:hint="eastAsia"/>
                <w:color w:val="000000" w:themeColor="text1"/>
                <w:sz w:val="21"/>
                <w:szCs w:val="21"/>
                <w:u w:val="single"/>
                <w14:textFill>
                  <w14:solidFill>
                    <w14:schemeClr w14:val="tx1"/>
                  </w14:solidFill>
                </w14:textFill>
              </w:rPr>
              <w:t xml:space="preserve">_      </w:t>
            </w: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年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月 </w:t>
            </w:r>
            <w:r>
              <w:rPr>
                <w:rFonts w:hint="eastAsia"/>
                <w:color w:val="000000" w:themeColor="text1"/>
                <w:sz w:val="21"/>
                <w:szCs w:val="21"/>
                <w:u w:val="single"/>
                <w14:textFill>
                  <w14:solidFill>
                    <w14:schemeClr w14:val="tx1"/>
                  </w14:solidFill>
                </w14:textFill>
              </w:rPr>
              <w:t xml:space="preserve">    </w:t>
            </w:r>
            <w:r>
              <w:rPr>
                <w:rFonts w:hint="eastAsia"/>
                <w:color w:val="000000" w:themeColor="text1"/>
                <w:sz w:val="21"/>
                <w:szCs w:val="21"/>
                <w14:textFill>
                  <w14:solidFill>
                    <w14:schemeClr w14:val="tx1"/>
                  </w14:solidFill>
                </w14:textFill>
              </w:rPr>
              <w:t>日</w:t>
            </w:r>
          </w:p>
        </w:tc>
      </w:tr>
    </w:tbl>
    <w:p>
      <w:pPr>
        <w:tabs>
          <w:tab w:val="left" w:pos="2559"/>
        </w:tabs>
        <w:jc w:val="left"/>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83" w:right="567" w:bottom="375" w:left="851" w:header="454"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EDA3B4B7-6F3E-4907-847D-44AA78618BB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Rounded MT Bold">
    <w:panose1 w:val="020F0704030504030204"/>
    <w:charset w:val="00"/>
    <w:family w:val="auto"/>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embedRegular r:id="rId2" w:fontKey="{4D2B25FC-A974-4685-96F6-E2E14F85761B}"/>
  </w:font>
  <w:font w:name="方正仿宋简体">
    <w:altName w:val="Arial Unicode MS"/>
    <w:panose1 w:val="00000000000000000000"/>
    <w:charset w:val="86"/>
    <w:family w:val="auto"/>
    <w:pitch w:val="default"/>
    <w:sig w:usb0="00000000" w:usb1="00000000" w:usb2="00000012" w:usb3="00000000" w:csb0="00040001" w:csb1="00000000"/>
    <w:embedRegular r:id="rId3" w:fontKey="{430537A7-83F3-4C5F-8F63-FAD90AA2E6F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bCs/>
      </w:rPr>
    </w:pPr>
    <w:r>
      <w:rPr>
        <w:rFonts w:hint="eastAsia"/>
        <w:color w:val="000000"/>
        <w:sz w:val="18"/>
        <w:szCs w:val="18"/>
      </w:rPr>
      <w:t xml:space="preserve"> </w:t>
    </w:r>
    <w:r>
      <w:rPr>
        <w:rFonts w:hint="eastAsia"/>
        <w:b/>
        <w:bCs/>
        <w:sz w:val="15"/>
        <w:szCs w:val="15"/>
      </w:rPr>
      <w:t>地址：广东省广州市黄埔区科学城科学大道10号      邮编：510670       电话：020-8923</w:t>
    </w:r>
    <w:r>
      <w:rPr>
        <w:rFonts w:hint="eastAsia"/>
        <w:b/>
        <w:bCs/>
        <w:sz w:val="15"/>
        <w:szCs w:val="15"/>
        <w:lang w:val="en-US" w:eastAsia="zh-CN"/>
      </w:rPr>
      <w:t>7935</w:t>
    </w:r>
    <w:r>
      <w:rPr>
        <w:rFonts w:hint="eastAsia"/>
        <w:b/>
        <w:bCs/>
        <w:sz w:val="15"/>
        <w:szCs w:val="15"/>
      </w:rPr>
      <w:t xml:space="preserve">   网址：</w:t>
    </w:r>
    <w:r>
      <w:rPr>
        <w:b/>
        <w:bCs/>
        <w:sz w:val="15"/>
        <w:szCs w:val="15"/>
      </w:rPr>
      <w:t>http://www.</w:t>
    </w:r>
    <w:r>
      <w:rPr>
        <w:rFonts w:hint="eastAsia"/>
        <w:b/>
        <w:bCs/>
        <w:sz w:val="15"/>
        <w:szCs w:val="15"/>
      </w:rPr>
      <w:t xml:space="preserve"> gqi.org.cn</w:t>
    </w:r>
    <w:r>
      <w:rPr>
        <w:b/>
        <w:bCs/>
        <w:sz w:val="15"/>
        <w:szCs w:val="15"/>
      </w:rPr>
      <w:t xml:space="preserve">   </w:t>
    </w:r>
    <w:r>
      <w:rPr>
        <w:rFonts w:hint="eastAsia"/>
        <w:b/>
        <w:bCs/>
        <w:sz w:val="15"/>
        <w:szCs w:val="15"/>
      </w:rPr>
      <w:t>微信号：gqi169</w:t>
    </w:r>
  </w:p>
  <w:p>
    <w:pPr>
      <w:pStyle w:val="3"/>
      <w:ind w:firstLine="2070" w:firstLineChars="1150"/>
      <w:jc w:val="both"/>
    </w:pPr>
    <w:r>
      <w:rPr>
        <w:rFonts w:hint="eastAsia" w:ascii="宋体" w:hAnsi="宋体"/>
      </w:rPr>
      <w:t>第一联：受理部门留存   第二联：检测室   第三联：送检单位（客户）</w:t>
    </w:r>
  </w:p>
  <w:p>
    <w:pPr>
      <w:rPr>
        <w:color w:val="000000"/>
      </w:rPr>
    </w:pPr>
    <w:r>
      <w:rPr>
        <w:rFonts w:hint="eastAsia"/>
        <w:color w:val="000000"/>
        <w:sz w:val="18"/>
        <w:szCs w:val="18"/>
      </w:rPr>
      <w:t>实施日期：20</w:t>
    </w:r>
    <w:r>
      <w:rPr>
        <w:color w:val="000000"/>
        <w:sz w:val="18"/>
        <w:szCs w:val="18"/>
      </w:rPr>
      <w:t>2</w:t>
    </w:r>
    <w:r>
      <w:rPr>
        <w:rFonts w:hint="eastAsia"/>
        <w:color w:val="000000"/>
        <w:sz w:val="18"/>
        <w:szCs w:val="18"/>
      </w:rPr>
      <w:t>3年3月10日                              第</w:t>
    </w:r>
    <w:r>
      <w:rPr>
        <w:color w:val="000000"/>
        <w:sz w:val="18"/>
        <w:szCs w:val="18"/>
        <w:lang w:val="zh-CN"/>
      </w:rPr>
      <w:t xml:space="preserve"> </w:t>
    </w:r>
    <w:r>
      <w:rPr>
        <w:bCs/>
        <w:color w:val="000000"/>
        <w:sz w:val="18"/>
        <w:szCs w:val="18"/>
      </w:rPr>
      <w:fldChar w:fldCharType="begin"/>
    </w:r>
    <w:r>
      <w:rPr>
        <w:bCs/>
        <w:color w:val="000000"/>
        <w:sz w:val="18"/>
        <w:szCs w:val="18"/>
      </w:rPr>
      <w:instrText xml:space="preserve">PAGE  \* Arabic  \* MERGEFORMAT</w:instrText>
    </w:r>
    <w:r>
      <w:rPr>
        <w:bCs/>
        <w:color w:val="000000"/>
        <w:sz w:val="18"/>
        <w:szCs w:val="18"/>
      </w:rPr>
      <w:fldChar w:fldCharType="separate"/>
    </w:r>
    <w:r>
      <w:rPr>
        <w:bCs/>
        <w:color w:val="000000"/>
        <w:sz w:val="18"/>
        <w:szCs w:val="18"/>
        <w:lang w:val="zh-CN"/>
      </w:rPr>
      <w:t>2</w:t>
    </w:r>
    <w:r>
      <w:rPr>
        <w:bCs/>
        <w:color w:val="000000"/>
        <w:sz w:val="18"/>
        <w:szCs w:val="18"/>
      </w:rPr>
      <w:fldChar w:fldCharType="end"/>
    </w:r>
    <w:r>
      <w:rPr>
        <w:bCs/>
        <w:color w:val="000000"/>
        <w:sz w:val="18"/>
        <w:szCs w:val="18"/>
      </w:rPr>
      <w:t xml:space="preserve"> 页</w:t>
    </w:r>
    <w:r>
      <w:rPr>
        <w:color w:val="000000"/>
        <w:sz w:val="18"/>
        <w:szCs w:val="18"/>
        <w:lang w:val="zh-CN"/>
      </w:rPr>
      <w:t xml:space="preserve"> 共 </w:t>
    </w:r>
    <w:r>
      <w:rPr>
        <w:b/>
        <w:bCs/>
        <w:color w:val="000000"/>
        <w:sz w:val="18"/>
        <w:szCs w:val="18"/>
      </w:rPr>
      <w:fldChar w:fldCharType="begin"/>
    </w:r>
    <w:r>
      <w:rPr>
        <w:b/>
        <w:bCs/>
        <w:color w:val="000000"/>
        <w:sz w:val="18"/>
        <w:szCs w:val="18"/>
      </w:rPr>
      <w:instrText xml:space="preserve">NUMPAGES  \* Arabic  \* MERGEFORMAT</w:instrText>
    </w:r>
    <w:r>
      <w:rPr>
        <w:b/>
        <w:bCs/>
        <w:color w:val="000000"/>
        <w:sz w:val="18"/>
        <w:szCs w:val="18"/>
      </w:rPr>
      <w:fldChar w:fldCharType="separate"/>
    </w:r>
    <w:r>
      <w:rPr>
        <w:b/>
        <w:bCs/>
        <w:color w:val="000000"/>
        <w:sz w:val="18"/>
        <w:szCs w:val="18"/>
        <w:lang w:val="zh-CN"/>
      </w:rPr>
      <w:t>2</w:t>
    </w:r>
    <w:r>
      <w:rPr>
        <w:b/>
        <w:bCs/>
        <w:color w:val="000000"/>
        <w:sz w:val="18"/>
        <w:szCs w:val="18"/>
      </w:rPr>
      <w:fldChar w:fldCharType="end"/>
    </w:r>
    <w:r>
      <w:rPr>
        <w:rFonts w:hint="eastAsia"/>
        <w:color w:val="000000"/>
        <w:sz w:val="18"/>
        <w:szCs w:val="18"/>
      </w:rPr>
      <w:t xml:space="preserve"> 页                                   第2次修订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 w:val="18"/>
        <w:szCs w:val="18"/>
      </w:rPr>
    </w:pPr>
    <w:r>
      <w:rPr>
        <w:rFonts w:hint="eastAsia"/>
        <w:color w:val="000000"/>
      </w:rPr>
      <w:drawing>
        <wp:anchor distT="0" distB="0" distL="114300" distR="114300" simplePos="0" relativeHeight="251659264" behindDoc="0" locked="0" layoutInCell="1" allowOverlap="1">
          <wp:simplePos x="0" y="0"/>
          <wp:positionH relativeFrom="column">
            <wp:posOffset>6081395</wp:posOffset>
          </wp:positionH>
          <wp:positionV relativeFrom="paragraph">
            <wp:posOffset>-118745</wp:posOffset>
          </wp:positionV>
          <wp:extent cx="575945" cy="575945"/>
          <wp:effectExtent l="0" t="0" r="14605" b="14605"/>
          <wp:wrapNone/>
          <wp:docPr id="6" name="图片 6" descr="7.1.21 皮具、箱包及鞋类产品检测协议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1.21 皮具、箱包及鞋类产品检测协议书"/>
                  <pic:cNvPicPr>
                    <a:picLocks noChangeAspect="1"/>
                  </pic:cNvPicPr>
                </pic:nvPicPr>
                <pic:blipFill>
                  <a:blip r:embed="rId1"/>
                  <a:srcRect l="13667" t="13933" r="13633" b="13367"/>
                  <a:stretch>
                    <a:fillRect/>
                  </a:stretch>
                </pic:blipFill>
                <pic:spPr>
                  <a:xfrm>
                    <a:off x="0" y="0"/>
                    <a:ext cx="575945" cy="575945"/>
                  </a:xfrm>
                  <a:prstGeom prst="rect">
                    <a:avLst/>
                  </a:prstGeom>
                </pic:spPr>
              </pic:pic>
            </a:graphicData>
          </a:graphic>
        </wp:anchor>
      </w:drawing>
    </w:r>
    <w:r>
      <w:t xml:space="preserve"> </w:t>
    </w:r>
    <w:r>
      <w:rPr>
        <w:color w:val="000000"/>
        <w:sz w:val="18"/>
        <w:szCs w:val="18"/>
      </w:rPr>
      <w:t>GQI/JL/HT16-2018</w:t>
    </w:r>
    <w:r>
      <w:rPr>
        <w:rFonts w:hint="eastAsia"/>
        <w:color w:val="000000"/>
        <w:sz w:val="18"/>
        <w:szCs w:val="18"/>
      </w:rPr>
      <w:t xml:space="preserve">                </w:t>
    </w:r>
  </w:p>
  <w:p>
    <w:pPr>
      <w:rPr>
        <w:color w:val="000000"/>
      </w:rPr>
    </w:pPr>
    <w:r>
      <w:rPr>
        <w:rFonts w:hint="eastAsia"/>
        <w:color w:val="00000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48704"/>
    <w:multiLevelType w:val="singleLevel"/>
    <w:tmpl w:val="6964870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OTIwMDgxZjRlMGM4NGY4ODAwNjJhMWE3ODg5NjMifQ=="/>
  </w:docVars>
  <w:rsids>
    <w:rsidRoot w:val="008F61F6"/>
    <w:rsid w:val="00023E09"/>
    <w:rsid w:val="000465C0"/>
    <w:rsid w:val="000660A9"/>
    <w:rsid w:val="000740A0"/>
    <w:rsid w:val="00081BB1"/>
    <w:rsid w:val="00093F9F"/>
    <w:rsid w:val="000A236F"/>
    <w:rsid w:val="001169B4"/>
    <w:rsid w:val="00122997"/>
    <w:rsid w:val="0014251B"/>
    <w:rsid w:val="0018329D"/>
    <w:rsid w:val="001A4EA0"/>
    <w:rsid w:val="001F61E2"/>
    <w:rsid w:val="0020117B"/>
    <w:rsid w:val="00207D32"/>
    <w:rsid w:val="00275E95"/>
    <w:rsid w:val="002B03E1"/>
    <w:rsid w:val="002C7E60"/>
    <w:rsid w:val="002E3A46"/>
    <w:rsid w:val="002E4FBD"/>
    <w:rsid w:val="002F1123"/>
    <w:rsid w:val="002F7622"/>
    <w:rsid w:val="00335EB4"/>
    <w:rsid w:val="003858D1"/>
    <w:rsid w:val="00390CCE"/>
    <w:rsid w:val="003B2361"/>
    <w:rsid w:val="003F59B4"/>
    <w:rsid w:val="004005D6"/>
    <w:rsid w:val="00400DFC"/>
    <w:rsid w:val="00431076"/>
    <w:rsid w:val="0043447F"/>
    <w:rsid w:val="00455559"/>
    <w:rsid w:val="004A43AE"/>
    <w:rsid w:val="004F3E12"/>
    <w:rsid w:val="005425BC"/>
    <w:rsid w:val="005641EE"/>
    <w:rsid w:val="0059146B"/>
    <w:rsid w:val="00592F75"/>
    <w:rsid w:val="005C27F4"/>
    <w:rsid w:val="005F3C4F"/>
    <w:rsid w:val="006A054B"/>
    <w:rsid w:val="006D22E9"/>
    <w:rsid w:val="007449BA"/>
    <w:rsid w:val="00757C10"/>
    <w:rsid w:val="007735CF"/>
    <w:rsid w:val="00777C58"/>
    <w:rsid w:val="007805A7"/>
    <w:rsid w:val="00785131"/>
    <w:rsid w:val="0078607D"/>
    <w:rsid w:val="007B58AD"/>
    <w:rsid w:val="00803376"/>
    <w:rsid w:val="0085074A"/>
    <w:rsid w:val="008735D6"/>
    <w:rsid w:val="008A2AB7"/>
    <w:rsid w:val="008C348E"/>
    <w:rsid w:val="008C66CA"/>
    <w:rsid w:val="008D1A71"/>
    <w:rsid w:val="008F1EB8"/>
    <w:rsid w:val="008F61F6"/>
    <w:rsid w:val="00926E80"/>
    <w:rsid w:val="00943E18"/>
    <w:rsid w:val="0095006F"/>
    <w:rsid w:val="00985ACC"/>
    <w:rsid w:val="009B543C"/>
    <w:rsid w:val="009E1E00"/>
    <w:rsid w:val="00A051D5"/>
    <w:rsid w:val="00A22009"/>
    <w:rsid w:val="00A46B84"/>
    <w:rsid w:val="00A6523C"/>
    <w:rsid w:val="00A7694F"/>
    <w:rsid w:val="00AB24AC"/>
    <w:rsid w:val="00AC782F"/>
    <w:rsid w:val="00B14FC3"/>
    <w:rsid w:val="00B568CF"/>
    <w:rsid w:val="00BF4B18"/>
    <w:rsid w:val="00C3103E"/>
    <w:rsid w:val="00C44397"/>
    <w:rsid w:val="00C6073A"/>
    <w:rsid w:val="00C621B5"/>
    <w:rsid w:val="00C82AA6"/>
    <w:rsid w:val="00C86BC0"/>
    <w:rsid w:val="00CA4782"/>
    <w:rsid w:val="00CD3134"/>
    <w:rsid w:val="00CD79D8"/>
    <w:rsid w:val="00D03D80"/>
    <w:rsid w:val="00D11EF2"/>
    <w:rsid w:val="00D62C8A"/>
    <w:rsid w:val="00D72F92"/>
    <w:rsid w:val="00DA0495"/>
    <w:rsid w:val="00DA35D8"/>
    <w:rsid w:val="00DC5A9F"/>
    <w:rsid w:val="00DE00C3"/>
    <w:rsid w:val="00E950A2"/>
    <w:rsid w:val="00E95E1B"/>
    <w:rsid w:val="00E97160"/>
    <w:rsid w:val="00EA194A"/>
    <w:rsid w:val="00F0492A"/>
    <w:rsid w:val="00F4382D"/>
    <w:rsid w:val="00F44E73"/>
    <w:rsid w:val="00F653F2"/>
    <w:rsid w:val="00F860BF"/>
    <w:rsid w:val="00F9550C"/>
    <w:rsid w:val="00FB3FB1"/>
    <w:rsid w:val="00FB7505"/>
    <w:rsid w:val="00FD16EA"/>
    <w:rsid w:val="04B02D1F"/>
    <w:rsid w:val="09C35448"/>
    <w:rsid w:val="0B316BD1"/>
    <w:rsid w:val="0F5B37EC"/>
    <w:rsid w:val="110661B9"/>
    <w:rsid w:val="129B6061"/>
    <w:rsid w:val="13201BEB"/>
    <w:rsid w:val="159D731D"/>
    <w:rsid w:val="197D274C"/>
    <w:rsid w:val="19AA2BE3"/>
    <w:rsid w:val="1BC86B67"/>
    <w:rsid w:val="1C243D77"/>
    <w:rsid w:val="1CCA6751"/>
    <w:rsid w:val="255929BA"/>
    <w:rsid w:val="258B7AF1"/>
    <w:rsid w:val="26807839"/>
    <w:rsid w:val="2D3174DD"/>
    <w:rsid w:val="2DCD06BC"/>
    <w:rsid w:val="3C0F3935"/>
    <w:rsid w:val="3E947280"/>
    <w:rsid w:val="44404AB2"/>
    <w:rsid w:val="47560C5E"/>
    <w:rsid w:val="4C7A1BBE"/>
    <w:rsid w:val="55180D0A"/>
    <w:rsid w:val="585C43CA"/>
    <w:rsid w:val="5CA960F5"/>
    <w:rsid w:val="5F9B707F"/>
    <w:rsid w:val="63551983"/>
    <w:rsid w:val="6365219B"/>
    <w:rsid w:val="66111574"/>
    <w:rsid w:val="66944973"/>
    <w:rsid w:val="69366BE8"/>
    <w:rsid w:val="69790883"/>
    <w:rsid w:val="6DCA78FF"/>
    <w:rsid w:val="6EAC097F"/>
    <w:rsid w:val="76323A49"/>
    <w:rsid w:val="76697760"/>
    <w:rsid w:val="78116ED9"/>
    <w:rsid w:val="7ABF6E92"/>
    <w:rsid w:val="7DD77507"/>
    <w:rsid w:val="7E25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Arial Rounded MT Bold" w:hAnsi="Arial Rounded MT Bold"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Arial Rounded MT Bold" w:hAnsi="Arial Rounded MT Bold" w:eastAsiaTheme="minorEastAsia" w:cstheme="minorBidi"/>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Emphasis"/>
    <w:basedOn w:val="7"/>
    <w:qFormat/>
    <w:uiPriority w:val="20"/>
    <w:rPr>
      <w:i/>
      <w:i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0"/>
    <w:rPr>
      <w:rFonts w:ascii="Times New Roman" w:hAnsi="Times New Roman" w:eastAsia="宋体" w:cs="Times New Roman"/>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289BF-ED5A-4580-A06D-6E4BD9189558}">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6304</Words>
  <Characters>7191</Characters>
  <Lines>61</Lines>
  <Paragraphs>17</Paragraphs>
  <TotalTime>0</TotalTime>
  <ScaleCrop>false</ScaleCrop>
  <LinksUpToDate>false</LinksUpToDate>
  <CharactersWithSpaces>8441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2023-03-14T08:51:00Z</dcterms:created>
  <dc:creator>GQI</dc:creator>
  <cp:lastModifiedBy>hu</cp:lastModifiedBy>
  <cp:lastPrinted>2023-11-09T04:12:44Z</cp:lastPrinted>
  <dcterms:modified xsi:type="dcterms:W3CDTF">2023-11-09T04:16:08Z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CC431ED0139F4FA3B786A229C9214CDF</vt:lpwstr>
  </property>
</Properties>
</file>